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F7F" w:rsidRDefault="00114F7F" w:rsidP="00114F7F">
      <w:pPr>
        <w:pStyle w:val="NormalNormal9"/>
        <w:rPr>
          <w:rFonts w:ascii="黑体" w:eastAsia="黑体" w:hAnsi="宋体" w:cs="黑体"/>
          <w:sz w:val="32"/>
          <w:szCs w:val="32"/>
          <w:lang/>
        </w:rPr>
      </w:pPr>
      <w:r>
        <w:rPr>
          <w:rFonts w:ascii="黑体" w:eastAsia="黑体" w:hAnsi="宋体" w:cs="黑体"/>
          <w:sz w:val="32"/>
          <w:szCs w:val="32"/>
          <w:lang/>
        </w:rPr>
        <w:t>附件</w:t>
      </w:r>
    </w:p>
    <w:p w:rsidR="00114F7F" w:rsidRDefault="00114F7F" w:rsidP="00114F7F">
      <w:pPr>
        <w:pStyle w:val="NormalNormal9"/>
        <w:spacing w:line="400" w:lineRule="exact"/>
        <w:rPr>
          <w:rFonts w:ascii="Times New Roman" w:eastAsia="黑体" w:hAnsi="Times New Roman"/>
          <w:sz w:val="44"/>
          <w:szCs w:val="44"/>
          <w:lang/>
        </w:rPr>
      </w:pPr>
    </w:p>
    <w:p w:rsidR="00114F7F" w:rsidRDefault="00114F7F" w:rsidP="00114F7F">
      <w:pPr>
        <w:pStyle w:val="NormalNormal9"/>
        <w:autoSpaceDE w:val="0"/>
        <w:spacing w:line="600" w:lineRule="exact"/>
        <w:jc w:val="center"/>
        <w:rPr>
          <w:rFonts w:ascii="Times New Roman" w:eastAsia="方正小标宋简体" w:hAnsi="Times New Roman"/>
          <w:sz w:val="44"/>
          <w:szCs w:val="44"/>
          <w:lang/>
        </w:rPr>
      </w:pPr>
      <w:r>
        <w:rPr>
          <w:rFonts w:ascii="Times New Roman" w:eastAsia="方正小标宋简体" w:hAnsi="Times New Roman"/>
          <w:sz w:val="44"/>
          <w:szCs w:val="44"/>
          <w:lang/>
        </w:rPr>
        <w:t>山东省</w:t>
      </w:r>
      <w:r>
        <w:rPr>
          <w:rFonts w:ascii="Times New Roman" w:eastAsia="方正小标宋简体" w:hAnsi="Times New Roman"/>
          <w:sz w:val="44"/>
          <w:szCs w:val="44"/>
          <w:lang/>
        </w:rPr>
        <w:t>2025</w:t>
      </w:r>
      <w:r>
        <w:rPr>
          <w:rFonts w:ascii="Times New Roman" w:eastAsia="方正小标宋简体" w:hAnsi="Times New Roman"/>
          <w:sz w:val="44"/>
          <w:szCs w:val="44"/>
          <w:lang/>
        </w:rPr>
        <w:t>年畜禽粪肥</w:t>
      </w:r>
    </w:p>
    <w:p w:rsidR="00114F7F" w:rsidRDefault="00114F7F" w:rsidP="00114F7F">
      <w:pPr>
        <w:pStyle w:val="NormalNormal9"/>
        <w:autoSpaceDE w:val="0"/>
        <w:spacing w:line="600" w:lineRule="exact"/>
        <w:jc w:val="center"/>
        <w:rPr>
          <w:rFonts w:ascii="Times New Roman" w:eastAsia="方正小标宋简体" w:hAnsi="Times New Roman"/>
          <w:sz w:val="44"/>
          <w:szCs w:val="44"/>
          <w:lang/>
        </w:rPr>
      </w:pPr>
      <w:r>
        <w:rPr>
          <w:rFonts w:ascii="Times New Roman" w:eastAsia="方正小标宋简体" w:hAnsi="Times New Roman"/>
          <w:sz w:val="44"/>
          <w:szCs w:val="44"/>
          <w:lang/>
        </w:rPr>
        <w:t>利用种养结合典型案例名单</w:t>
      </w:r>
    </w:p>
    <w:p w:rsidR="00114F7F" w:rsidRDefault="00114F7F" w:rsidP="00114F7F">
      <w:pPr>
        <w:pStyle w:val="NormalNormal9"/>
        <w:autoSpaceDE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 xml:space="preserve"> </w:t>
      </w:r>
    </w:p>
    <w:tbl>
      <w:tblPr>
        <w:tblStyle w:val="NormalTableTableNormal11"/>
        <w:tblW w:w="5313" w:type="pct"/>
        <w:jc w:val="center"/>
        <w:tblInd w:w="0" w:type="dxa"/>
        <w:tblLook w:val="04A0"/>
      </w:tblPr>
      <w:tblGrid>
        <w:gridCol w:w="754"/>
        <w:gridCol w:w="1024"/>
        <w:gridCol w:w="1282"/>
        <w:gridCol w:w="1429"/>
        <w:gridCol w:w="4566"/>
      </w:tblGrid>
      <w:tr w:rsidR="00114F7F" w:rsidTr="006A7521">
        <w:trPr>
          <w:trHeight w:val="850"/>
          <w:tblHeader/>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rFonts w:ascii="黑体" w:eastAsia="黑体" w:hAnsi="宋体" w:cs="黑体"/>
                <w:sz w:val="24"/>
              </w:rPr>
            </w:pPr>
            <w:bookmarkStart w:id="0" w:name="OLE_LINK1"/>
            <w:bookmarkStart w:id="1" w:name="OLE_LINK2"/>
            <w:r>
              <w:rPr>
                <w:rFonts w:ascii="黑体" w:eastAsia="黑体" w:hAnsi="宋体" w:cs="黑体"/>
                <w:sz w:val="24"/>
                <w:lang/>
              </w:rPr>
              <w:t>序号</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rFonts w:ascii="黑体" w:eastAsia="黑体" w:hAnsi="宋体" w:cs="黑体"/>
                <w:sz w:val="24"/>
              </w:rPr>
            </w:pPr>
            <w:r>
              <w:rPr>
                <w:rFonts w:ascii="黑体" w:eastAsia="黑体" w:hAnsi="宋体" w:cs="黑体"/>
                <w:sz w:val="24"/>
                <w:lang/>
              </w:rPr>
              <w:t>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rFonts w:ascii="黑体" w:eastAsia="黑体" w:hAnsi="宋体" w:cs="黑体"/>
                <w:sz w:val="24"/>
              </w:rPr>
            </w:pPr>
            <w:r>
              <w:rPr>
                <w:rFonts w:ascii="黑体" w:eastAsia="黑体" w:hAnsi="宋体" w:cs="黑体"/>
                <w:sz w:val="24"/>
                <w:lang/>
              </w:rPr>
              <w:t>所在县区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rFonts w:ascii="黑体" w:eastAsia="黑体" w:hAnsi="宋体" w:cs="黑体"/>
                <w:sz w:val="24"/>
              </w:rPr>
            </w:pPr>
            <w:r>
              <w:rPr>
                <w:rFonts w:ascii="黑体" w:eastAsia="黑体" w:hAnsi="宋体" w:cs="黑体"/>
                <w:sz w:val="24"/>
                <w:lang/>
              </w:rPr>
              <w:t>案例类型</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rFonts w:ascii="黑体" w:eastAsia="黑体" w:hAnsi="宋体" w:cs="黑体"/>
                <w:sz w:val="24"/>
              </w:rPr>
            </w:pPr>
            <w:r>
              <w:rPr>
                <w:rFonts w:ascii="黑体" w:eastAsia="黑体" w:hAnsi="宋体" w:cs="黑体"/>
                <w:sz w:val="24"/>
                <w:lang/>
              </w:rPr>
              <w:t>案例标题</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1</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济南市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历城区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山东奥克斯鲜淳种业科技有限公司粪肥全量化利用驱动种养循环发展案例</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2</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济南市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天桥区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山东众爱农产品有限公司畜禽粪肥循环利用种养结合促生态农业</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3</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济南市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商河县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商河县畜禽粪肥利用种养结合典型案例</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4</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青岛市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平度市</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青岛</w:t>
            </w:r>
            <w:r>
              <w:rPr>
                <w:rFonts w:ascii="仿宋_GB2312" w:hAnsi="仿宋_GB2312" w:cs="仿宋_GB2312" w:hint="eastAsia"/>
                <w:sz w:val="24"/>
                <w:lang/>
              </w:rPr>
              <w:t>华睿弘盛“禽-沼-田”种养</w:t>
            </w:r>
            <w:r>
              <w:rPr>
                <w:rFonts w:ascii="仿宋_GB2312" w:cs="仿宋_GB2312" w:hint="eastAsia"/>
                <w:sz w:val="24"/>
                <w:lang/>
              </w:rPr>
              <w:t>大循环模式创新实践</w:t>
            </w:r>
          </w:p>
        </w:tc>
      </w:tr>
      <w:tr w:rsidR="00114F7F" w:rsidTr="006A7521">
        <w:trPr>
          <w:trHeight w:val="120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5</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淄博市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高青县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项目引导</w:t>
            </w:r>
            <w:r>
              <w:rPr>
                <w:sz w:val="24"/>
                <w:lang/>
              </w:rPr>
              <w:t>+</w:t>
            </w:r>
            <w:r>
              <w:rPr>
                <w:rFonts w:ascii="仿宋_GB2312" w:cs="仿宋_GB2312" w:hint="eastAsia"/>
                <w:sz w:val="24"/>
                <w:lang/>
              </w:rPr>
              <w:t>企业运作</w:t>
            </w:r>
            <w:r>
              <w:rPr>
                <w:sz w:val="24"/>
                <w:lang/>
              </w:rPr>
              <w:t>+</w:t>
            </w:r>
            <w:r>
              <w:rPr>
                <w:rFonts w:ascii="仿宋_GB2312" w:cs="仿宋_GB2312" w:hint="eastAsia"/>
                <w:sz w:val="24"/>
                <w:lang/>
              </w:rPr>
              <w:t>技术助力的种养循环实践</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6</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淄博市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沂源县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沂源县畜禽粪肥利用种养结合典型案例</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7</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枣庄市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薛城区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枣庄市薛城铁腾养殖有限公司</w:t>
            </w:r>
            <w:r>
              <w:rPr>
                <w:sz w:val="24"/>
                <w:lang/>
              </w:rPr>
              <w:t>EM</w:t>
            </w:r>
            <w:r>
              <w:rPr>
                <w:rFonts w:ascii="仿宋_GB2312" w:cs="仿宋_GB2312" w:hint="eastAsia"/>
                <w:sz w:val="24"/>
                <w:lang/>
              </w:rPr>
              <w:t>菌（益生发酵菌）在肉鸡养殖暨种养结合应用技术研究与示范推广</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8</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枣庄市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峄城区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rFonts w:ascii="仿宋_GB2312" w:hAnsi="仿宋_GB2312" w:cs="仿宋_GB2312"/>
                <w:sz w:val="24"/>
              </w:rPr>
            </w:pPr>
            <w:r>
              <w:rPr>
                <w:rFonts w:ascii="仿宋_GB2312" w:hAns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rFonts w:ascii="仿宋_GB2312" w:hAnsi="仿宋_GB2312" w:cs="仿宋_GB2312"/>
                <w:sz w:val="24"/>
              </w:rPr>
            </w:pPr>
            <w:r>
              <w:rPr>
                <w:rFonts w:ascii="仿宋_GB2312" w:hAnsi="仿宋_GB2312" w:cs="仿宋_GB2312" w:hint="eastAsia"/>
                <w:sz w:val="24"/>
                <w:lang/>
              </w:rPr>
              <w:t>“四法联动”构建畜禽粪污资源化利用新模式</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9</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东营市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河口区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pacing w:val="-6"/>
                <w:sz w:val="24"/>
                <w:lang/>
              </w:rPr>
              <w:t>种养结合循环农业</w:t>
            </w:r>
            <w:r>
              <w:rPr>
                <w:spacing w:val="-6"/>
                <w:sz w:val="24"/>
                <w:lang/>
              </w:rPr>
              <w:t xml:space="preserve"> </w:t>
            </w:r>
            <w:r>
              <w:rPr>
                <w:rFonts w:ascii="仿宋_GB2312" w:cs="仿宋_GB2312" w:hint="eastAsia"/>
                <w:spacing w:val="-6"/>
                <w:sz w:val="24"/>
                <w:lang/>
              </w:rPr>
              <w:t>降本增效绿色发展</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lastRenderedPageBreak/>
              <w:t>10</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东营市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利津县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山东广驰乳业小麦</w:t>
            </w:r>
            <w:r>
              <w:rPr>
                <w:sz w:val="24"/>
                <w:lang/>
              </w:rPr>
              <w:t>-</w:t>
            </w:r>
            <w:r>
              <w:rPr>
                <w:rFonts w:ascii="仿宋_GB2312" w:cs="仿宋_GB2312" w:hint="eastAsia"/>
                <w:sz w:val="24"/>
                <w:lang/>
              </w:rPr>
              <w:t>青贮玉米轮作种养结合典型案例</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11</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烟台市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蓬莱区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民和牧业打造种养循环典范</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12</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烟台市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黄渤海新区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祥源生态种养循环模式助力绿色农业发展</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13</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潍坊市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昌乐县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大北农昌乐第一种猪场融聚现代化智能技术、铸就种养循环新标杆</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14</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潍坊市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诸城市</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诸城市新疃农业技术开发中心典型材料</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15</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潍坊市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高密市</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推</w:t>
            </w:r>
            <w:r>
              <w:rPr>
                <w:rFonts w:ascii="仿宋_GB2312" w:hAnsi="仿宋_GB2312" w:cs="仿宋_GB2312" w:hint="eastAsia"/>
                <w:sz w:val="24"/>
                <w:lang/>
              </w:rPr>
              <w:t>行</w:t>
            </w:r>
            <w:r>
              <w:rPr>
                <w:rFonts w:ascii="仿宋_GB2312" w:hAnsi="仿宋_GB2312" w:cs="仿宋_GB2312"/>
                <w:sz w:val="24"/>
                <w:lang/>
              </w:rPr>
              <w:t>“</w:t>
            </w:r>
            <w:r>
              <w:rPr>
                <w:rFonts w:ascii="仿宋_GB2312" w:hAnsi="仿宋_GB2312" w:cs="仿宋_GB2312" w:hint="eastAsia"/>
                <w:sz w:val="24"/>
                <w:lang/>
              </w:rPr>
              <w:t>粪肥还田</w:t>
            </w:r>
            <w:r>
              <w:rPr>
                <w:rFonts w:ascii="仿宋_GB2312" w:hAnsi="仿宋_GB2312" w:cs="仿宋_GB2312"/>
                <w:sz w:val="24"/>
                <w:lang/>
              </w:rPr>
              <w:t>”</w:t>
            </w:r>
            <w:r>
              <w:rPr>
                <w:rFonts w:ascii="仿宋_GB2312" w:hAnsi="仿宋_GB2312" w:cs="仿宋_GB2312" w:hint="eastAsia"/>
                <w:sz w:val="24"/>
                <w:lang/>
              </w:rPr>
              <w:t>实</w:t>
            </w:r>
            <w:r>
              <w:rPr>
                <w:rFonts w:ascii="仿宋_GB2312" w:cs="仿宋_GB2312" w:hint="eastAsia"/>
                <w:sz w:val="24"/>
                <w:lang/>
              </w:rPr>
              <w:t>现资源利用</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16</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济宁市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嘉祥县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Style w:val="151513"/>
                <w:kern w:val="2"/>
                <w:lang/>
              </w:rPr>
              <w:t>山东</w:t>
            </w:r>
            <w:r>
              <w:rPr>
                <w:rStyle w:val="161612"/>
                <w:kern w:val="2"/>
                <w:lang/>
              </w:rPr>
              <w:t>璟</w:t>
            </w:r>
            <w:r>
              <w:rPr>
                <w:rStyle w:val="151513"/>
                <w:kern w:val="2"/>
                <w:lang/>
              </w:rPr>
              <w:t>元农牧发展有限公司畜禽粪污资源化利用案例</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17</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泰安市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岱岳区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泰安金兰奶牛养殖有限公司种养结合推动农牧循环发展新模式</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18</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泰安市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东平县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积极探索黄河流域种养循环新路径</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19</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威海市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文登区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威海市万鑫农业科技股份有限公司粪污集中处理、有机肥生产、种植一体化实践</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20</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日照市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五莲县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隆铭牛业五莲基地粪肥资源化利用与绿色种养循环案例</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21</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临沂市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沂南县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推行</w:t>
            </w:r>
            <w:r>
              <w:rPr>
                <w:rFonts w:ascii="仿宋_GB2312" w:hAnsi="仿宋_GB2312" w:cs="仿宋_GB2312"/>
                <w:sz w:val="24"/>
                <w:lang/>
              </w:rPr>
              <w:t>“</w:t>
            </w:r>
            <w:r>
              <w:rPr>
                <w:sz w:val="24"/>
                <w:lang/>
              </w:rPr>
              <w:t>6+8+N</w:t>
            </w:r>
            <w:r>
              <w:rPr>
                <w:rFonts w:ascii="仿宋_GB2312" w:hAnsi="仿宋_GB2312" w:cs="仿宋_GB2312"/>
                <w:sz w:val="24"/>
                <w:lang/>
              </w:rPr>
              <w:t>”</w:t>
            </w:r>
            <w:r>
              <w:rPr>
                <w:rFonts w:ascii="仿宋_GB2312" w:cs="仿宋_GB2312" w:hint="eastAsia"/>
                <w:sz w:val="24"/>
                <w:lang/>
              </w:rPr>
              <w:t>粪污处理模式，构筑全域覆盖格局</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lastRenderedPageBreak/>
              <w:t>22</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临沂市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莒南县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构建</w:t>
            </w:r>
            <w:r>
              <w:rPr>
                <w:rFonts w:ascii="仿宋_GB2312" w:hAnsi="仿宋_GB2312" w:cs="仿宋_GB2312" w:hint="eastAsia"/>
                <w:sz w:val="24"/>
                <w:lang/>
              </w:rPr>
              <w:t>“</w:t>
            </w:r>
            <w:r>
              <w:rPr>
                <w:sz w:val="24"/>
                <w:lang/>
              </w:rPr>
              <w:t>1+6+N</w:t>
            </w:r>
            <w:r>
              <w:rPr>
                <w:rFonts w:ascii="仿宋_GB2312" w:hAnsi="仿宋_GB2312" w:cs="仿宋_GB2312"/>
                <w:sz w:val="24"/>
                <w:lang/>
              </w:rPr>
              <w:t>”</w:t>
            </w:r>
            <w:r>
              <w:rPr>
                <w:rFonts w:ascii="仿宋_GB2312" w:hAnsi="仿宋_GB2312" w:cs="仿宋_GB2312" w:hint="eastAsia"/>
                <w:sz w:val="24"/>
                <w:lang/>
              </w:rPr>
              <w:t>新</w:t>
            </w:r>
            <w:r>
              <w:rPr>
                <w:rFonts w:ascii="仿宋_GB2312" w:cs="仿宋_GB2312" w:hint="eastAsia"/>
                <w:sz w:val="24"/>
                <w:lang/>
              </w:rPr>
              <w:t>体系  打造绿色低碳农业发展</w:t>
            </w:r>
            <w:r>
              <w:rPr>
                <w:rFonts w:ascii="仿宋_GB2312" w:hAnsi="仿宋_GB2312" w:cs="仿宋_GB2312" w:hint="eastAsia"/>
                <w:sz w:val="24"/>
                <w:lang/>
              </w:rPr>
              <w:t>新</w:t>
            </w:r>
            <w:r>
              <w:rPr>
                <w:rFonts w:ascii="仿宋_GB2312" w:hAnsi="仿宋_GB2312" w:cs="仿宋_GB2312"/>
                <w:sz w:val="24"/>
                <w:lang/>
              </w:rPr>
              <w:t>“</w:t>
            </w:r>
            <w:r>
              <w:rPr>
                <w:rFonts w:ascii="仿宋_GB2312" w:hAnsi="仿宋_GB2312" w:cs="仿宋_GB2312" w:hint="eastAsia"/>
                <w:sz w:val="24"/>
                <w:lang/>
              </w:rPr>
              <w:t>样板</w:t>
            </w:r>
            <w:r>
              <w:rPr>
                <w:rFonts w:ascii="仿宋_GB2312" w:hAnsi="仿宋_GB2312" w:cs="仿宋_GB2312"/>
                <w:sz w:val="24"/>
                <w:lang/>
              </w:rPr>
              <w:t>”</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23</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临沂市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河东区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pacing w:val="-6"/>
                <w:sz w:val="24"/>
              </w:rPr>
            </w:pPr>
            <w:r>
              <w:rPr>
                <w:rFonts w:ascii="仿宋_GB2312" w:cs="仿宋_GB2312" w:hint="eastAsia"/>
                <w:spacing w:val="-6"/>
                <w:sz w:val="24"/>
                <w:lang/>
              </w:rPr>
              <w:t>友三农场畜禽粪肥利用创新实践模式</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24</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德州市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齐河县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旗鲁生态农业粪肥还田促种养循环</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25</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德州市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禹城市</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德州燧禾种养加生态循环模式</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26</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聊城市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临清市</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创新</w:t>
            </w:r>
            <w:r>
              <w:rPr>
                <w:rFonts w:ascii="仿宋_GB2312" w:hAnsi="仿宋_GB2312" w:cs="仿宋_GB2312" w:hint="eastAsia"/>
                <w:sz w:val="24"/>
                <w:lang/>
              </w:rPr>
              <w:t>“</w:t>
            </w:r>
            <w:r>
              <w:rPr>
                <w:sz w:val="24"/>
                <w:lang/>
              </w:rPr>
              <w:t>12+5+N</w:t>
            </w:r>
            <w:r>
              <w:rPr>
                <w:rFonts w:ascii="仿宋_GB2312" w:hAnsi="仿宋_GB2312" w:cs="仿宋_GB2312"/>
                <w:sz w:val="24"/>
                <w:lang/>
              </w:rPr>
              <w:t>”</w:t>
            </w:r>
            <w:r>
              <w:rPr>
                <w:rFonts w:ascii="仿宋_GB2312" w:hAnsi="仿宋_GB2312" w:cs="仿宋_GB2312" w:hint="eastAsia"/>
                <w:sz w:val="24"/>
                <w:lang/>
              </w:rPr>
              <w:t>工</w:t>
            </w:r>
            <w:r>
              <w:rPr>
                <w:rFonts w:ascii="仿宋_GB2312" w:cs="仿宋_GB2312" w:hint="eastAsia"/>
                <w:sz w:val="24"/>
                <w:lang/>
              </w:rPr>
              <w:t>作机制推动种养结合深入实施</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27</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滨州市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惠民县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党建引领，科技赋能，构建种养循环绿色畜牧业新模式</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28</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滨州市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博兴县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博兴县推进绿色种养循环打造县域做法样板</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29</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滨州市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沾化区</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沾化区雅士享畜禽粪肥利用种养结合典型案例</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30</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滨州市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无棣县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技术模式</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sz w:val="24"/>
              </w:rPr>
            </w:pPr>
            <w:r>
              <w:rPr>
                <w:rFonts w:ascii="仿宋_GB2312" w:cs="仿宋_GB2312" w:hint="eastAsia"/>
                <w:sz w:val="24"/>
                <w:lang/>
              </w:rPr>
              <w:t>无棣县车王镇创新“蚯蚓生物全产业链”模式</w:t>
            </w:r>
            <w:r>
              <w:rPr>
                <w:sz w:val="24"/>
                <w:lang/>
              </w:rPr>
              <w:t>——</w:t>
            </w:r>
            <w:r>
              <w:rPr>
                <w:rFonts w:ascii="仿宋_GB2312" w:cs="仿宋_GB2312" w:hint="eastAsia"/>
                <w:sz w:val="24"/>
                <w:lang/>
              </w:rPr>
              <w:t>打造粪污资源化利用示范样板</w:t>
            </w:r>
          </w:p>
        </w:tc>
      </w:tr>
      <w:tr w:rsidR="00114F7F" w:rsidTr="006A7521">
        <w:trPr>
          <w:trHeight w:val="1020"/>
          <w:jc w:val="center"/>
        </w:trPr>
        <w:tc>
          <w:tcPr>
            <w:tcW w:w="416" w:type="pct"/>
            <w:tcBorders>
              <w:top w:val="single" w:sz="4" w:space="0" w:color="000000"/>
              <w:left w:val="single" w:sz="4" w:space="0" w:color="000000"/>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sz w:val="24"/>
                <w:lang/>
              </w:rPr>
              <w:t>31</w:t>
            </w:r>
          </w:p>
        </w:tc>
        <w:tc>
          <w:tcPr>
            <w:tcW w:w="565"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菏泽市</w:t>
            </w:r>
          </w:p>
        </w:tc>
        <w:tc>
          <w:tcPr>
            <w:tcW w:w="708"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巨野县</w:t>
            </w:r>
          </w:p>
        </w:tc>
        <w:tc>
          <w:tcPr>
            <w:tcW w:w="78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center"/>
              <w:textAlignment w:val="center"/>
              <w:rPr>
                <w:sz w:val="24"/>
              </w:rPr>
            </w:pPr>
            <w:r>
              <w:rPr>
                <w:rFonts w:ascii="仿宋_GB2312" w:cs="仿宋_GB2312" w:hint="eastAsia"/>
                <w:sz w:val="24"/>
                <w:lang/>
              </w:rPr>
              <w:t>县域做法</w:t>
            </w:r>
          </w:p>
        </w:tc>
        <w:tc>
          <w:tcPr>
            <w:tcW w:w="2519" w:type="pct"/>
            <w:tcBorders>
              <w:top w:val="single" w:sz="4" w:space="0" w:color="000000"/>
              <w:left w:val="nil"/>
              <w:bottom w:val="single" w:sz="4" w:space="0" w:color="000000"/>
              <w:right w:val="single" w:sz="4" w:space="0" w:color="000000"/>
            </w:tcBorders>
            <w:vAlign w:val="center"/>
          </w:tcPr>
          <w:p w:rsidR="00114F7F" w:rsidRDefault="00114F7F" w:rsidP="006A7521">
            <w:pPr>
              <w:widowControl/>
              <w:spacing w:line="400" w:lineRule="exact"/>
              <w:jc w:val="left"/>
              <w:textAlignment w:val="center"/>
              <w:rPr>
                <w:rFonts w:ascii="仿宋_GB2312" w:hAnsi="仿宋_GB2312" w:cs="仿宋_GB2312"/>
                <w:sz w:val="24"/>
              </w:rPr>
            </w:pPr>
            <w:r>
              <w:rPr>
                <w:rFonts w:ascii="仿宋_GB2312" w:hAnsi="仿宋_GB2312" w:cs="仿宋_GB2312" w:hint="eastAsia"/>
                <w:sz w:val="24"/>
                <w:lang/>
              </w:rPr>
              <w:t>“项目引领+多元利用+监管保障”打通畜禽粪污资源化利用与种养循环堵点</w:t>
            </w:r>
          </w:p>
        </w:tc>
      </w:tr>
      <w:bookmarkEnd w:id="0"/>
      <w:bookmarkEnd w:id="1"/>
    </w:tbl>
    <w:p w:rsidR="00114F7F" w:rsidRDefault="00114F7F" w:rsidP="00114F7F">
      <w:pPr>
        <w:pStyle w:val="NormalNormal9"/>
        <w:spacing w:line="620" w:lineRule="exact"/>
        <w:rPr>
          <w:rFonts w:ascii="Times New Roman" w:eastAsia="方正仿宋简体" w:hAnsi="Times New Roman"/>
          <w:sz w:val="32"/>
          <w:szCs w:val="32"/>
        </w:rPr>
      </w:pPr>
    </w:p>
    <w:p w:rsidR="002A00FA" w:rsidRPr="00114F7F" w:rsidRDefault="002A00FA"/>
    <w:sectPr w:rsidR="002A00FA" w:rsidRPr="00114F7F" w:rsidSect="002A00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4F7F"/>
    <w:rsid w:val="00114F7F"/>
    <w:rsid w:val="002A00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F7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rmal9">
    <w:name w:val="NormalNormal9"/>
    <w:qFormat/>
    <w:rsid w:val="00114F7F"/>
    <w:pPr>
      <w:widowControl w:val="0"/>
      <w:jc w:val="both"/>
    </w:pPr>
    <w:rPr>
      <w:rFonts w:ascii="Calibri" w:eastAsia="宋体" w:hAnsi="Calibri" w:cs="Times New Roman"/>
      <w:szCs w:val="24"/>
    </w:rPr>
  </w:style>
  <w:style w:type="table" w:customStyle="1" w:styleId="NormalTableTableNormal11">
    <w:name w:val="Normal TableTableNormal11"/>
    <w:semiHidden/>
    <w:qFormat/>
    <w:rsid w:val="00114F7F"/>
    <w:rPr>
      <w:rFonts w:ascii="Times New Roman" w:eastAsia="宋体" w:hAnsi="Times New Roman" w:cs="Times New Roman"/>
      <w:kern w:val="0"/>
      <w:sz w:val="20"/>
      <w:szCs w:val="20"/>
    </w:rPr>
    <w:tblPr>
      <w:tblCellMar>
        <w:top w:w="0" w:type="dxa"/>
        <w:left w:w="108" w:type="dxa"/>
        <w:bottom w:w="0" w:type="dxa"/>
        <w:right w:w="108" w:type="dxa"/>
      </w:tblCellMar>
    </w:tblPr>
  </w:style>
  <w:style w:type="character" w:customStyle="1" w:styleId="161612">
    <w:name w:val="161612"/>
    <w:basedOn w:val="a0"/>
    <w:qFormat/>
    <w:rsid w:val="00114F7F"/>
    <w:rPr>
      <w:rFonts w:ascii="宋体" w:eastAsia="宋体" w:hAnsi="宋体" w:cs="宋体" w:hint="eastAsia"/>
      <w:color w:val="000000"/>
      <w:sz w:val="24"/>
      <w:szCs w:val="24"/>
    </w:rPr>
  </w:style>
  <w:style w:type="character" w:customStyle="1" w:styleId="151513">
    <w:name w:val="151513"/>
    <w:basedOn w:val="a0"/>
    <w:qFormat/>
    <w:rsid w:val="00114F7F"/>
    <w:rPr>
      <w:rFonts w:ascii="仿宋_GB2312" w:eastAsia="仿宋_GB2312" w:cs="仿宋_GB2312" w:hint="eastAs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2025-10-30T08:48:00Z</dcterms:created>
  <dcterms:modified xsi:type="dcterms:W3CDTF">2025-10-30T08:48:00Z</dcterms:modified>
</cp:coreProperties>
</file>