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F" w:rsidRDefault="00F66820" w:rsidP="00F56855">
      <w:pPr>
        <w:pageBreakBefore/>
        <w:widowControl w:val="0"/>
        <w:autoSpaceDE w:val="0"/>
        <w:autoSpaceDN w:val="0"/>
        <w:spacing w:beforeLines="50" w:afterLines="50" w:line="360" w:lineRule="auto"/>
        <w:ind w:left="3373" w:right="612" w:hanging="3061"/>
        <w:rPr>
          <w:rFonts w:ascii="黑体" w:eastAsia="黑体" w:hAnsi="黑体" w:cs="黑体" w:hint="default"/>
          <w:b/>
          <w:color w:val="000000" w:themeColor="text1"/>
          <w:spacing w:val="8"/>
          <w:sz w:val="44"/>
          <w:szCs w:val="44"/>
          <w:shd w:val="clear" w:color="auto" w:fill="FFFFFF"/>
        </w:rPr>
      </w:pPr>
      <w:r>
        <w:rPr>
          <w:rFonts w:eastAsia="黑体"/>
          <w:spacing w:val="-20"/>
          <w:sz w:val="32"/>
          <w:szCs w:val="32"/>
        </w:rPr>
        <w:t>附件</w:t>
      </w:r>
      <w:r w:rsidR="0009560F" w:rsidRPr="0009560F">
        <w:rPr>
          <w:rFonts w:ascii="黑体" w:eastAsia="黑体" w:hAnsi="黑体" w:cs="黑体" w:hint="default"/>
          <w:spacing w:val="-20"/>
          <w:sz w:val="32"/>
          <w:szCs w:val="32"/>
        </w:rPr>
        <w:t>1</w:t>
      </w:r>
    </w:p>
    <w:p w:rsidR="0009560F" w:rsidRDefault="00F66820" w:rsidP="00F56855">
      <w:pPr>
        <w:pStyle w:val="1"/>
        <w:widowControl w:val="0"/>
        <w:autoSpaceDE w:val="0"/>
        <w:autoSpaceDN w:val="0"/>
        <w:spacing w:beforeLines="50" w:afterLines="50" w:line="620" w:lineRule="exact"/>
        <w:ind w:left="3373" w:right="612" w:hanging="3061"/>
        <w:jc w:val="center"/>
        <w:rPr>
          <w:rFonts w:ascii="方正小标宋简体" w:eastAsia="方正小标宋简体" w:hAnsi="方正小标宋简体" w:cs="方正小标宋简体" w:hint="default"/>
          <w:b/>
          <w:color w:val="000000" w:themeColor="text1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/>
          <w:color w:val="000000" w:themeColor="text1"/>
          <w:spacing w:val="8"/>
          <w:sz w:val="44"/>
          <w:szCs w:val="44"/>
          <w:shd w:val="clear" w:color="auto" w:fill="FFFFFF"/>
          <w:lang w:val="en-US"/>
        </w:rPr>
        <w:t>山东省第一届执业兽医职业</w:t>
      </w:r>
      <w:r>
        <w:rPr>
          <w:rFonts w:ascii="方正小标宋简体" w:eastAsia="方正小标宋简体" w:hAnsi="方正小标宋简体" w:cs="方正小标宋简体"/>
          <w:b/>
          <w:color w:val="000000" w:themeColor="text1"/>
          <w:spacing w:val="8"/>
          <w:sz w:val="44"/>
          <w:szCs w:val="44"/>
          <w:shd w:val="clear" w:color="auto" w:fill="FFFFFF"/>
        </w:rPr>
        <w:t>技能</w:t>
      </w:r>
    </w:p>
    <w:p w:rsidR="0009560F" w:rsidRDefault="00F66820" w:rsidP="00F56855">
      <w:pPr>
        <w:pStyle w:val="1"/>
        <w:widowControl w:val="0"/>
        <w:autoSpaceDE w:val="0"/>
        <w:autoSpaceDN w:val="0"/>
        <w:spacing w:beforeLines="50" w:afterLines="50" w:line="620" w:lineRule="exact"/>
        <w:ind w:left="3373" w:right="612" w:hanging="3061"/>
        <w:jc w:val="center"/>
        <w:rPr>
          <w:rFonts w:ascii="方正小标宋简体" w:eastAsia="方正小标宋简体" w:hAnsi="方正小标宋简体" w:cs="方正小标宋简体" w:hint="default"/>
          <w:color w:val="000000" w:themeColor="text1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/>
          <w:b/>
          <w:color w:val="000000" w:themeColor="text1"/>
          <w:spacing w:val="8"/>
          <w:sz w:val="44"/>
          <w:szCs w:val="44"/>
          <w:shd w:val="clear" w:color="auto" w:fill="FFFFFF"/>
          <w:lang w:val="en-US"/>
        </w:rPr>
        <w:t>竞赛方案</w:t>
      </w:r>
    </w:p>
    <w:p w:rsidR="0009560F" w:rsidRDefault="00F66820">
      <w:pPr>
        <w:widowControl w:val="0"/>
        <w:spacing w:line="360" w:lineRule="auto"/>
        <w:ind w:firstLineChars="200" w:firstLine="640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2023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年山东省“技能兴鲁”职业技能大赛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——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第一届执业兽医职业技能竞赛，采取理论知识考试和实操技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术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考核相结合的方式。理论知识考试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分，实操考核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项，每项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分，总分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400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分。</w:t>
      </w:r>
    </w:p>
    <w:p w:rsidR="0009560F" w:rsidRDefault="00F66820">
      <w:pPr>
        <w:spacing w:line="640" w:lineRule="exact"/>
        <w:ind w:firstLineChars="200" w:firstLine="640"/>
        <w:rPr>
          <w:rFonts w:ascii="黑体" w:eastAsia="黑体" w:hAnsi="黑体" w:hint="default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一、理论知识考试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理论知识考试采用闭卷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计算机测试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，考题范围参照《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2023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年全国执业兽医资格考试大纲（兽医全科类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》（仅限犬、猫等小动物相关知识点）和《中华人民共和国动物防疫法》《执业兽医和乡村兽医管理办法》《动物诊疗机构管理办法》等有关法律法规。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考试时间为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60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分钟，总分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分。</w:t>
      </w:r>
    </w:p>
    <w:p w:rsidR="0009560F" w:rsidRDefault="00F66820">
      <w:pPr>
        <w:spacing w:line="640" w:lineRule="exact"/>
        <w:ind w:firstLineChars="200" w:firstLine="640"/>
        <w:rPr>
          <w:rFonts w:ascii="黑体" w:eastAsia="黑体" w:hAnsi="黑体" w:hint="default"/>
          <w:color w:val="000000" w:themeColor="text1"/>
          <w:sz w:val="32"/>
          <w:szCs w:val="32"/>
        </w:rPr>
      </w:pPr>
      <w:r>
        <w:rPr>
          <w:rFonts w:ascii="黑体" w:eastAsia="黑体" w:hAnsi="黑体"/>
          <w:color w:val="000000" w:themeColor="text1"/>
          <w:sz w:val="32"/>
          <w:szCs w:val="32"/>
        </w:rPr>
        <w:t>二、实操技术考核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楷体" w:eastAsia="楷体" w:hAnsi="楷体" w:cs="楷体" w:hint="default"/>
          <w:b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（一）</w:t>
      </w:r>
      <w:r>
        <w:rPr>
          <w:rFonts w:ascii="楷体" w:eastAsia="楷体" w:hAnsi="楷体" w:cs="楷体"/>
          <w:b/>
          <w:color w:val="000000" w:themeColor="text1"/>
          <w:sz w:val="32"/>
          <w:szCs w:val="32"/>
        </w:rPr>
        <w:t>兔胃切开术</w:t>
      </w:r>
      <w:r>
        <w:rPr>
          <w:rFonts w:ascii="楷体" w:eastAsia="楷体" w:hAnsi="楷体" w:cs="楷体"/>
          <w:b/>
          <w:color w:val="000000" w:themeColor="text1"/>
          <w:sz w:val="32"/>
          <w:szCs w:val="32"/>
        </w:rPr>
        <w:t xml:space="preserve"> </w:t>
      </w:r>
      <w:r>
        <w:rPr>
          <w:rFonts w:ascii="楷体" w:eastAsia="楷体" w:hAnsi="楷体" w:cs="楷体"/>
          <w:b/>
          <w:color w:val="000000" w:themeColor="text1"/>
          <w:sz w:val="32"/>
          <w:szCs w:val="32"/>
        </w:rPr>
        <w:t>（</w:t>
      </w:r>
      <w:r>
        <w:rPr>
          <w:rFonts w:ascii="楷体" w:eastAsia="楷体" w:hAnsi="楷体" w:cs="楷体"/>
          <w:b/>
          <w:color w:val="000000" w:themeColor="text1"/>
          <w:sz w:val="32"/>
          <w:szCs w:val="32"/>
        </w:rPr>
        <w:t>100</w:t>
      </w:r>
      <w:r>
        <w:rPr>
          <w:rFonts w:ascii="楷体" w:eastAsia="楷体" w:hAnsi="楷体" w:cs="楷体"/>
          <w:b/>
          <w:color w:val="000000" w:themeColor="text1"/>
          <w:sz w:val="32"/>
          <w:szCs w:val="32"/>
        </w:rPr>
        <w:t>分）</w:t>
      </w:r>
      <w:r>
        <w:rPr>
          <w:rFonts w:ascii="楷体" w:eastAsia="楷体" w:hAnsi="楷体" w:cs="楷体"/>
          <w:b/>
          <w:color w:val="000000" w:themeColor="text1"/>
          <w:sz w:val="32"/>
          <w:szCs w:val="32"/>
        </w:rPr>
        <w:t xml:space="preserve">   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该项目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分，限时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70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分钟。每组该项目所得分数，即为本组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名选手的个人得分。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各代表队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名选手为一组参加手术，人员分工包括术者、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助手和麻醉助手。着刷手服进入场地，手肘以下禁止佩戴首饰、留长指甲。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每组比赛用动物（家兔）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只，放置于各组手术台旁的笼子内，体重由选手自行称量。手术药品、耗材、器械位于手术台旁边的箱子内和器械盘中。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各代表队要需要按照抽签号码确定对应比赛场地，并按指令进行器材检查和各项操作。主持人宣布“比赛开始”，裁判员按下计时器开始计时，选手通过红线开始操作，各组选手需要在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70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的比赛时间内完成包括埋置静脉留置针、麻醉、动物准备、手术人员准备、腹壁切开、胃切开、胃缝合、腹腔闭合、术后处理等操作。完成清洗整理所有使用过的器材和耗材后，向裁判报告“已完成”，并退出红线外，裁判员按下计时器停止计时，并记录选手操作用时。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strike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主持人宣布“时间到”，参赛选手应立即停止操作并退出红线外。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30"/>
        <w:jc w:val="both"/>
        <w:rPr>
          <w:rFonts w:cs="宋体" w:hint="default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操作步骤及操作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规范</w:t>
      </w:r>
    </w:p>
    <w:p w:rsidR="0009560F" w:rsidRDefault="00F66820">
      <w:pPr>
        <w:pStyle w:val="a6"/>
        <w:numPr>
          <w:ilvl w:val="1"/>
          <w:numId w:val="1"/>
        </w:numPr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埋置静脉留置针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3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使用毛巾对家兔进行包裹保定，采取俯卧位，暴露耳朵，注意不要过度保定，影响动物呼吸，双眼涂布红霉素眼药膏，保护眼角膜。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3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使用电动剃毛刀对耳廓外侧边缘剃毛，剃毛后由助手按压耳缘静脉近心端使血管充盈，使用酒精棉球擦拭注射部位进行消毒。成功入针后拔出针芯，待血液充满留置针末端空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间后加装肝素帽，随后使用胶带对留置针进行固定，使用弹性粘性绷带包扎保护，推注生理盐水。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3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每支队伍有两次操作机会。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3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1.2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麻醉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3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依据兔子体重计算麻醉药用量（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0.1mL/kg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），通过留置针注射全身麻醉药，并观察麻醉效果。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1.3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动物准备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动物采用仰卧保定，头部置于器械盘相反方向。保定绳固定位置应在家兔的腕关节和跗关节下方，确定保定安全牢固。保定结束后连接输液器输液。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使用电动剃毛刀剃毛。剃毛范围应以脐前腹中线为中心，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向周边扩大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5-8cm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，剃毛后使用胶带粘除断毛。确保手术区域无长毛和杂毛，且铺设创巾后无长毛露出。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先用酒精对剃毛区域进行初步清洗，待清洗干净后，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使用装有碘伏的喷壶对手术剃毛区域喷洒消毒。喷洒应全面，不留死角，喷洒量适度。待碘伏干燥后方可进行下一步操作。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1.4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手术人员准备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名选手在手术开始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前应首先戴上口罩和手术帽。家兔保定结束后，术者和手术助手即可到指定区域刷手。首先进行手臂清洗，水流方向为指尖至手肘。使用洗手液沿手掌至手肘均匀涂抹，随后使用毛刷沿指尖至手肘刷洗，所有位置均应刷洗到位。随后使用流水冲净洗手液，水流方向为指尖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至手肘。整个流程约为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分钟。刷手结束后，指尖向上自然垂于胸前，手和手臂不得再次接触任何有菌物体。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麻醉助手使用无菌方式打开擦手纸，术者和手术助手将手和手臂擦干，擦手方向为指尖至手肘。然后，麻醉助手使用无菌方式打开手术衣，术者、手术助手在麻醉助手协助下穿好手术衣。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麻醉助手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为术者和手术助手挑选合适型号手套，使用无菌方式打开手套外包装，打开过程不得接触内层无菌包装。术者、手术助手可采用封闭式或开放式方法戴手套。戴手套过程中严格保证无菌，不应扯破手套和手术衣，确保手术手套贴合、舒适。佩戴结束后，指尖向上自然垂于胸前，胸前和手臂的无菌区域不得再次接触任何有菌物体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1.5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腹壁切开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将手术器械包放在器械盘或手术台空白区域，麻醉助手协助术者或手术助手打开器械包。整个过程注意无菌操作。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麻醉助手无菌打开一次性无菌隔离巾（创巾）外包装，术者或手术助手拿出隔离巾，在距手术台半米位置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展开，一次性铺设在术部的合适位置，要求一次性无菌隔离巾（创巾）中心为切口位置，洞口无毛发露出，随后使用四把创巾钳将一次性无菌隔离巾（创巾）固定确实。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术者执笔式握持手术刀，沿脐前腹中线（剑状软骨至脐孔）锐性切开皮肤，切口长度≥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6cm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术者和手术助手各持一把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Adson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镊子，在腹中线两侧对称夹起腹直肌，向上提拉，术者切开腹白线，暴露腹腔，随后使用钝剪向前、向后扩创。要求切口整齐，长度与皮肤切口一致，止血充分，不能损伤腹腔内脏器。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1.6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胃切开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术者使用生理盐水浸湿的纱布将胃牵拉到腹腔切口外，注意不要损伤脾胃韧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带和脾脏，使用湿纱布衬垫在胃与腹壁创缘中间做隔离保护。在切开胃壁前，应在预定切口的前后两端，使用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4-0 PGA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带针缝线（圆针）穿过胃的浆膜肌层做两根牵引线。手术助手拉起牵引线，术者使用手术刀在胃大弯血管少的预定切口位置垂直刺穿胃壁，再使用钝剪扩大切口，切口长度要求≥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4cm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，此时进入污染手术。然后用小勺成功取出适量胃内容物，放入指定容器中。胃内容物无外溢，胃壁切口要求整齐，无锯齿。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1.7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胃缝合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胃壁切口在进行适当止血后（纱布压迫、结扎等）后，用碘伏擦拭胃壁切口创缘。助手提拉牵引线，术者使用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4-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0 PGA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带针缝线（圆针）对胃全层进行单纯连续缝合，第一针和最后一针的进针点应位于非切口区域。要求针距合适、均匀。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第一层缝合结束后，由术者将胃牵拉至腹壁切口旁边，麻醉助手用生理盐水对胃壁切口进行冲洗清创，注意使用纱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布衬垫保护，不要让冲洗液流入腹腔，然后用湿纱布覆盖胃壁切口。冲洗结束后，第一套器械不再使用。术者、手术助手更换手套，戴第二副手套时注意无菌操作。麻醉助手协助打开第二套器械。术者和手术助手在第一层创巾（已污染）上覆盖第二块无菌创巾，并用创巾钳固定，第二块创巾固定后，应完全遮盖第一层创巾和创巾钳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此时转为无菌手术。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胃切口的第二层缝合使用新开启的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4-0 PGA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带针缝线（圆针），采用库兴氏缝合，缝线仅穿过胃壁的浆膜肌层，要求松紧合适、内翻包埋确实，不得拉豁浆膜层。缝合完毕后，再次冲洗暴露的胃壁。冲洗结束后，撤除并清点隔离纱布，将胃小心地还纳回腹腔。冲洗液不流入腹腔，创面无异物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1.8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腹腔闭合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使用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3-0PGA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带针缝线（圆针），采用单纯连续缝合关闭腹中线切口，要求针距合适、均匀，第一针和最后一针缝合的进针点应位于非切口区域。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使用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3-0PGA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带针缝线（棱针），采用单纯间断缝合（结节缝合）闭合皮肤切口。要求切口整齐对合，无内翻或外翻。所有线结应位于切口一侧，避免线结处于切口正上方。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麻醉助手应在围手术期内密切关注家兔的各项生命体征，每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5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分钟监测并记录心率、体温、呼吸频率等基本指标。结膜囊内涂抹红霉素眼膏，围手术期内观察眼睑反射、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眼球位置、咬肌张力等麻醉指征，确保麻醉安全、确实。熟知阿托品、肾上腺素等急救药品的使用方式，如出现麻醉意外，及时处理。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1.9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术后处理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使用灭菌纱布覆盖切口并用胶带固定。松开保定绳，停止输液，拆除静脉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留置针，并用毛巾覆盖家兔躯干保温。检查和确定动物生命体征是否正常。注射苏醒药，使动物苏醒。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手术结束后，选手应清理所有使用过的器械和耗材。清点器械后，将用过的手术器械清洗擦干放回原手术包内，刀片和缝针、注射器针头（盖好针帽）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置于利器盒，注射器、纱布、手套、手术衣、手术帽和创巾等医疗废弃物置于垃圾桶。</w:t>
      </w:r>
    </w:p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整个比赛过程中，选手需注意比赛纪律和手术纪律，禁止喧哗和进行危险操作。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="645"/>
        <w:jc w:val="both"/>
        <w:rPr>
          <w:rFonts w:ascii="仿宋" w:eastAsia="仿宋" w:hAnsi="仿宋" w:cs="仿宋" w:hint="default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提供的物品</w:t>
      </w:r>
    </w:p>
    <w:tbl>
      <w:tblPr>
        <w:tblW w:w="7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1"/>
        <w:gridCol w:w="3682"/>
        <w:gridCol w:w="2900"/>
      </w:tblGrid>
      <w:tr w:rsidR="0009560F">
        <w:trPr>
          <w:trHeight w:val="620"/>
        </w:trPr>
        <w:tc>
          <w:tcPr>
            <w:tcW w:w="13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手术动物</w:t>
            </w: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成年健康家兔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只，雌雄不限，体重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2-3kg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09560F">
        <w:trPr>
          <w:trHeight w:val="620"/>
        </w:trPr>
        <w:tc>
          <w:tcPr>
            <w:tcW w:w="137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药品</w:t>
            </w:r>
          </w:p>
          <w:p w:rsidR="0009560F" w:rsidRDefault="0009560F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碘伏（喷壶）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75%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酒精（喷壶）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0.9%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氯化钠注射液（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100ml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瓶（冲洗和补液用）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麻醉药品</w:t>
            </w:r>
          </w:p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（陆眠宁与舒泰混合液）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急救药品（阿托品、肾上腺素）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工作人员准备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红霉素眼药膏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支</w:t>
            </w:r>
          </w:p>
        </w:tc>
      </w:tr>
      <w:tr w:rsidR="0009560F">
        <w:trPr>
          <w:trHeight w:val="620"/>
        </w:trPr>
        <w:tc>
          <w:tcPr>
            <w:tcW w:w="137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耗材</w:t>
            </w: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带针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4-0PGA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缝合线（圆针）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根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带针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3-0PGA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缝合线（圆针）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根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带针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3-0PGA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缝合线（棱针）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根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医用外科口罩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08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一次性手术帽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顶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一次性手术衣中号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件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无菌手术手套</w:t>
            </w:r>
          </w:p>
        </w:tc>
        <w:tc>
          <w:tcPr>
            <w:tcW w:w="290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若干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无菌擦手纸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一次性无菌隔离巾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无菌纱布（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15*40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块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无菌纱布（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7*5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块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刷手毛刷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纸胶带（窄）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9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静脉留置针（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24G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）、肝素帽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09560F">
        <w:trPr>
          <w:trHeight w:val="9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毛巾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条（保定和保温）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一次性注射器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2ml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支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一次性注射器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20ml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个（用于冲洗）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纱布绷带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卷（保定用）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弹性粘性绷带（窄）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一次性输液器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无菌手术刀片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09560F">
        <w:trPr>
          <w:trHeight w:val="620"/>
        </w:trPr>
        <w:tc>
          <w:tcPr>
            <w:tcW w:w="137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手术器械</w:t>
            </w: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创巾钳（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14cm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止血钳（直）（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14cm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止血钳（弯）（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14cm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组织钳（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16cm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Adson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镊（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14cm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尖剪（直）（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16cm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钝剪（直）（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16cm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持针钳（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14cm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rPr>
          <w:trHeight w:val="620"/>
        </w:trPr>
        <w:tc>
          <w:tcPr>
            <w:tcW w:w="1371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手术刀柄（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3#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9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</w:tbl>
    <w:p w:rsidR="0009560F" w:rsidRDefault="00F66820">
      <w:pPr>
        <w:pStyle w:val="a6"/>
        <w:shd w:val="clear" w:color="auto" w:fill="FFFFFF"/>
        <w:spacing w:beforeAutospacing="0" w:afterAutospacing="0"/>
        <w:jc w:val="both"/>
        <w:rPr>
          <w:rFonts w:ascii="黑体" w:eastAsia="黑体" w:hAnsi="黑体" w:cs="黑体" w:hint="default"/>
          <w:b/>
          <w:bCs/>
          <w:color w:val="000000" w:themeColor="text1"/>
          <w:sz w:val="28"/>
          <w:szCs w:val="28"/>
        </w:rPr>
      </w:pPr>
      <w:r>
        <w:rPr>
          <w:rFonts w:ascii="黑体" w:eastAsia="黑体" w:hAnsi="黑体" w:cs="黑体"/>
          <w:color w:val="000000" w:themeColor="text1"/>
          <w:sz w:val="28"/>
          <w:szCs w:val="28"/>
        </w:rPr>
        <w:t>注：上述手术器械是一个器械包里的器械，手术准备两个器械包，转为无菌手术后开启使用第二个器械包。</w:t>
      </w:r>
    </w:p>
    <w:tbl>
      <w:tblPr>
        <w:tblStyle w:val="a7"/>
        <w:tblW w:w="0" w:type="auto"/>
        <w:tblInd w:w="114" w:type="dxa"/>
        <w:tblLook w:val="04A0"/>
      </w:tblPr>
      <w:tblGrid>
        <w:gridCol w:w="1363"/>
        <w:gridCol w:w="3669"/>
        <w:gridCol w:w="2900"/>
      </w:tblGrid>
      <w:tr w:rsidR="0009560F">
        <w:tc>
          <w:tcPr>
            <w:tcW w:w="1363" w:type="dxa"/>
            <w:vMerge w:val="restart"/>
          </w:tcPr>
          <w:p w:rsidR="0009560F" w:rsidRDefault="0009560F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  <w:p w:rsidR="0009560F" w:rsidRDefault="0009560F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  <w:p w:rsidR="0009560F" w:rsidRDefault="0009560F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  <w:p w:rsidR="0009560F" w:rsidRDefault="0009560F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电动剃毛刀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把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利器盒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医疗垃圾桶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洗手液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瓶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小勺和容器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体温计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监护记录表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张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器械盘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手术台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c>
          <w:tcPr>
            <w:tcW w:w="1363" w:type="dxa"/>
            <w:vMerge/>
          </w:tcPr>
          <w:p w:rsidR="0009560F" w:rsidRDefault="0009560F">
            <w:pPr>
              <w:pStyle w:val="a6"/>
              <w:spacing w:beforeAutospacing="0" w:afterAutospacing="0"/>
              <w:jc w:val="both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3669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器械台</w:t>
            </w:r>
          </w:p>
        </w:tc>
        <w:tc>
          <w:tcPr>
            <w:tcW w:w="2900" w:type="dxa"/>
          </w:tcPr>
          <w:p w:rsidR="0009560F" w:rsidRDefault="00F66820">
            <w:pPr>
              <w:pStyle w:val="a6"/>
              <w:spacing w:beforeAutospacing="0" w:afterAutospacing="0"/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</w:tbl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jc w:val="both"/>
        <w:rPr>
          <w:rFonts w:ascii="楷体" w:eastAsia="楷体" w:hAnsi="楷体" w:cs="楷体" w:hint="default"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（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二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）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血涂片制备与判读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（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100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分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）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在规定时间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分钟内，每位选手需完成制片、染色、镜检和判读，整个过程中选手需佩戴手套。各代表队需要按照抽签号码确定对应的比赛场地，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名选手再次抽签确定参赛顺序，依次上场。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仿宋" w:eastAsia="仿宋" w:hAnsi="仿宋" w:cs="仿宋" w:hint="default"/>
          <w:strike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选手须按指令进行器材检查和各项操作，主持人宣布“比赛开始”，选手越过红线进入场地操作；项目完成向裁判报告“已完成”，并退出红线外；主持人宣布“时间到”，参赛选手应立即停止操作并退出红线外。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血涂片制作及染色：混匀血液，取适量的血液进行血涂片的制作，制片过程流畅和娴熟，快速风干血涂片，使用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Diff-Quik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染料进行染色，染色过程熟练，染色时间适当，血涂片无明显断层，染色适中。每位选手选取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张最优血涂片进行展示。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rPr>
          <w:rFonts w:hint="default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显微镜使用及血涂片判读：每位选手需在制备好的血涂片中找出和展示抽签对应的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种细胞（淋巴细胞、杆状中性粒细胞、分叶中性粒细胞、单核细胞、血小板、红细胞）。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操作步骤及操作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规范</w:t>
      </w:r>
      <w:r>
        <w:rPr>
          <w:rFonts w:ascii="仿宋_GB2312" w:eastAsia="仿宋_GB2312"/>
          <w:color w:val="000000" w:themeColor="text1"/>
          <w:sz w:val="28"/>
          <w:szCs w:val="28"/>
        </w:rPr>
        <w:br/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.1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制片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混匀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EDTA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抗凝全血，挑选边缘光滑整齐、平直的盖玻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片备用。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EDTA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血颠倒数次混匀，以左手拇指、中指夹持盖玻片两端，用塑料吸管吸取适量血液，管口轻触载玻片右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1/4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处，使载玻片蘸上适量全血。右手持选好的盖玻片，拇指、中指夹持玻片两缘，食指轻压玻片表面，将盖玻片一边压在载玻片血滴的前方，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°角向后拉盖玻片至轻触血滴，待血滴沿盖玻片横截面扩散成线；然后匀速前推盖玻片，直至载玻片的尽头，前推时角度依血液黏稠度调整，贫血时角度加大，脱水血液黏稠时角度要小。使用吸耳球轻吹血涂片，使其迅速干燥，以防细胞皱缩变形。如果操作正确，血滴对面的涂片边缘呈羽状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.2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染色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使用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Diff-Quik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染色方法，将血涂片放入装有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DiffA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液（曙红、甲醇）的染色缸里，使血涂片完全浸入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15-20s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，取出。然后浸泡于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DiffB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（磷酸盐缓冲液）中洗掉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DiffA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溶液，稍甩干。最后把血涂片浸泡于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DiffC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液（亚甲蓝）中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15-20s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；取出，水洗，干燥，镜检。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.3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显微镜使用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打开显微镜光源，将载玻片放置在载物台上，稳定的固定好以保证在移动玻片或转换镜头时，玻片不会移动。首先从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10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×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物镜开始观察，对全部细胞有一个总体评价。然后将视野固定在血涂片尾部单层区域，也可在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40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×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物镜下使用同样的步骤寻找合适视野。滴加香柏油，将镜头转换至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×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物镜下观察细胞。使用完毕后，取下载玻片，用擦镜纸擦去香柏油，光源调至最低，旋转物镜旋转盘至最低倍物镜，调低载物台，并关闭电源。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血涂片判读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每位选手选取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张最优血涂片，从给定的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种细胞（中性粒细胞、分叶中性粒细胞、淋巴细胞、单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核细胞、血小板、红细胞）中随机抽签确定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种细胞，然后在制备好的血涂片中找出和抽</w:t>
      </w:r>
      <w:bookmarkStart w:id="0" w:name="_GoBack"/>
      <w:bookmarkEnd w:id="0"/>
      <w:r>
        <w:rPr>
          <w:rFonts w:ascii="仿宋" w:eastAsia="仿宋" w:hAnsi="仿宋" w:cs="仿宋"/>
          <w:color w:val="000000" w:themeColor="text1"/>
          <w:sz w:val="32"/>
          <w:szCs w:val="32"/>
        </w:rPr>
        <w:t>签对应的细胞，使用与显微镜相连接的平板电脑截屏，报告裁判进行评估确认。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附：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种细胞的形态描述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default"/>
          <w:color w:val="000000" w:themeColor="text1"/>
          <w:sz w:val="32"/>
          <w:szCs w:val="32"/>
          <w:lang w:val="zh-CN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  <w:lang w:val="zh-CN"/>
        </w:rPr>
        <w:t>杆状中性粒细胞：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细胞呈圆形，胞浆淡粉色，胞浆内有多量紫红色细小颗粒，核紫色，呈带状或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 xml:space="preserve"> S 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形且两边较平行，最细的部分超过核宽度的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 xml:space="preserve"> 1/3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default"/>
          <w:color w:val="000000" w:themeColor="text1"/>
          <w:sz w:val="32"/>
          <w:szCs w:val="32"/>
          <w:lang w:val="zh-CN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  <w:lang w:val="zh-CN"/>
        </w:rPr>
        <w:t>分叶中性粒细胞：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细胞呈圆形，胞浆淡粉色，胞浆内有多量紫红色细小颗粒，核紫色，分成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 xml:space="preserve">2-4 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叶，在叶之间有细丝相连。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default"/>
          <w:color w:val="000000" w:themeColor="text1"/>
          <w:sz w:val="32"/>
          <w:szCs w:val="32"/>
          <w:lang w:val="zh-CN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  <w:lang w:val="zh-CN"/>
        </w:rPr>
        <w:t>淋巴细胞：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分大小两种，小淋巴细胞呈圆形，比中性粒细胞稍小，核蓝紫色，圆形或肾形，胞浆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很少，蓝色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.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大淋巴细胞比中性粒细胞稍大，核圆形或肾形，胞浆相对较多，天蓝色，淋巴细胞的胞浆清澈透明。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default"/>
          <w:color w:val="000000" w:themeColor="text1"/>
          <w:sz w:val="32"/>
          <w:szCs w:val="32"/>
          <w:lang w:val="zh-CN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  <w:lang w:val="zh-CN"/>
        </w:rPr>
        <w:lastRenderedPageBreak/>
        <w:t>单核细胞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：通常是外周血液中最大的细胞，核蓝紫色，但较淋巴细胞核色淡，核呈肾形，多角形，形状不规则，胞浆较多，呈浅灰蓝色，有时内含空泡和粉色颗粒。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rPr>
          <w:rFonts w:ascii="仿宋" w:eastAsia="仿宋" w:hAnsi="仿宋" w:cs="仿宋" w:hint="default"/>
          <w:color w:val="000000" w:themeColor="text1"/>
          <w:sz w:val="32"/>
          <w:szCs w:val="32"/>
          <w:lang w:val="zh-CN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  <w:lang w:val="zh-CN"/>
        </w:rPr>
        <w:t>红细胞：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哺乳动物正常红细胞呈双凹圆盘状，细胞边缘着色较深，中央淡染，同一个体的红细胞直径大小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 xml:space="preserve"> 5.5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-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6.0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μ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m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，应比较均匀，成熟红细胞无核。</w:t>
      </w:r>
    </w:p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rPr>
          <w:rFonts w:cs="宋体" w:hint="default"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  <w:lang w:val="zh-CN"/>
        </w:rPr>
        <w:t>血小板：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正常犬血小板呈盘状、椭圆形、稍微拉长、扁平，淡蓝色无核细胞，中间有颗粒、直径大小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2.2-3.7um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，幼稚血小板通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CN"/>
        </w:rPr>
        <w:t>常是巨型血小板。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br/>
      </w:r>
      <w:r>
        <w:rPr>
          <w:rFonts w:cs="宋体"/>
          <w:color w:val="000000" w:themeColor="text1"/>
          <w:sz w:val="28"/>
          <w:szCs w:val="28"/>
        </w:rPr>
        <w:t xml:space="preserve">   </w:t>
      </w:r>
      <w:r>
        <w:rPr>
          <w:rFonts w:cs="宋体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提供的物品</w:t>
      </w:r>
    </w:p>
    <w:tbl>
      <w:tblPr>
        <w:tblW w:w="81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4054"/>
        <w:gridCol w:w="2854"/>
      </w:tblGrid>
      <w:tr w:rsidR="0009560F">
        <w:trPr>
          <w:trHeight w:val="65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设备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显微镜（连接平板电脑）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台</w:t>
            </w:r>
          </w:p>
        </w:tc>
      </w:tr>
      <w:tr w:rsidR="0009560F">
        <w:trPr>
          <w:trHeight w:val="1282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耗材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细胞快速染色液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Diff-Quik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（染缸和清洗缸）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09560F">
        <w:trPr>
          <w:trHeight w:val="65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载玻片、盖玻片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09560F">
        <w:trPr>
          <w:trHeight w:val="65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犬抗凝全血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09560F">
        <w:trPr>
          <w:trHeight w:val="65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吸耳球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5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吸水滤纸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09560F">
        <w:trPr>
          <w:trHeight w:val="65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一次性吸管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560F" w:rsidRDefault="00F66820">
            <w:pPr>
              <w:jc w:val="center"/>
              <w:textAlignment w:val="bottom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个</w:t>
            </w:r>
          </w:p>
        </w:tc>
      </w:tr>
      <w:tr w:rsidR="0009560F">
        <w:trPr>
          <w:trHeight w:val="65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香柏油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560F" w:rsidRDefault="00F66820">
            <w:pPr>
              <w:jc w:val="center"/>
              <w:textAlignment w:val="bottom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瓶</w:t>
            </w:r>
          </w:p>
        </w:tc>
      </w:tr>
      <w:tr w:rsidR="0009560F">
        <w:trPr>
          <w:trHeight w:val="65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擦镜纸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560F" w:rsidRDefault="00F66820">
            <w:pPr>
              <w:jc w:val="center"/>
              <w:textAlignment w:val="bottom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份</w:t>
            </w:r>
          </w:p>
        </w:tc>
      </w:tr>
      <w:tr w:rsidR="0009560F">
        <w:trPr>
          <w:trHeight w:val="663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手套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若干</w:t>
            </w:r>
          </w:p>
        </w:tc>
      </w:tr>
    </w:tbl>
    <w:p w:rsidR="0009560F" w:rsidRDefault="00F66820">
      <w:pPr>
        <w:pStyle w:val="a6"/>
        <w:shd w:val="clear" w:color="auto" w:fill="FFFFFF"/>
        <w:spacing w:beforeAutospacing="0" w:afterAutospacing="0"/>
        <w:ind w:firstLineChars="200" w:firstLine="643"/>
        <w:jc w:val="both"/>
        <w:rPr>
          <w:rFonts w:ascii="楷体" w:eastAsia="楷体" w:hAnsi="楷体" w:cs="楷体" w:hint="default"/>
          <w:b/>
          <w:bCs/>
          <w:color w:val="000000" w:themeColor="text1"/>
          <w:sz w:val="32"/>
          <w:szCs w:val="32"/>
        </w:rPr>
      </w:pP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lastRenderedPageBreak/>
        <w:t>（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三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）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X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光片判读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（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100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分</w:t>
      </w:r>
      <w:r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）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每个代表队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名选手同时上场，使用计算机判读，每人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张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光片，根据规定时间内判读到的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光片数量及问题描述准确、全面度得分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限时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分钟。。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ind w:firstLineChars="200" w:firstLine="643"/>
        <w:jc w:val="both"/>
        <w:rPr>
          <w:rFonts w:ascii="仿宋" w:eastAsia="仿宋" w:hAnsi="仿宋" w:cs="仿宋" w:hint="default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操作步骤及操作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规范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正确描述每张问题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光片的拍片质量。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1.2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准确指出每张问题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光片影像异常部位。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1.3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正确描述每张问题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光片可能的问题指向。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ind w:firstLineChars="200" w:firstLine="643"/>
        <w:jc w:val="both"/>
        <w:rPr>
          <w:rFonts w:ascii="仿宋" w:eastAsia="仿宋" w:hAnsi="仿宋" w:cs="仿宋" w:hint="default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提供的物品</w:t>
      </w:r>
    </w:p>
    <w:tbl>
      <w:tblPr>
        <w:tblW w:w="8189" w:type="dxa"/>
        <w:tblCellMar>
          <w:left w:w="0" w:type="dxa"/>
          <w:right w:w="0" w:type="dxa"/>
        </w:tblCellMar>
        <w:tblLook w:val="04A0"/>
      </w:tblPr>
      <w:tblGrid>
        <w:gridCol w:w="1289"/>
        <w:gridCol w:w="4064"/>
        <w:gridCol w:w="2836"/>
      </w:tblGrid>
      <w:tr w:rsidR="0009560F">
        <w:trPr>
          <w:trHeight w:val="466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设备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计算机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台</w:t>
            </w:r>
          </w:p>
        </w:tc>
      </w:tr>
      <w:tr w:rsidR="0009560F">
        <w:trPr>
          <w:trHeight w:val="466"/>
        </w:trPr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其他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kern w:val="2"/>
                <w:sz w:val="32"/>
                <w:szCs w:val="32"/>
              </w:rPr>
              <w:t>报告单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kern w:val="2"/>
                <w:sz w:val="32"/>
                <w:szCs w:val="32"/>
              </w:rPr>
              <w:t>1</w:t>
            </w:r>
            <w:r>
              <w:rPr>
                <w:rFonts w:ascii="黑体" w:eastAsia="黑体" w:hAnsi="黑体" w:cs="黑体"/>
                <w:color w:val="000000" w:themeColor="text1"/>
                <w:kern w:val="2"/>
                <w:sz w:val="32"/>
                <w:szCs w:val="32"/>
              </w:rPr>
              <w:t>张</w:t>
            </w:r>
          </w:p>
        </w:tc>
      </w:tr>
      <w:tr w:rsidR="0009560F">
        <w:trPr>
          <w:trHeight w:val="473"/>
        </w:trPr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09560F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32"/>
                <w:szCs w:val="32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kern w:val="2"/>
                <w:sz w:val="32"/>
                <w:szCs w:val="32"/>
              </w:rPr>
              <w:t>签字笔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560F" w:rsidRDefault="00F66820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  <w:t>支</w:t>
            </w:r>
          </w:p>
        </w:tc>
      </w:tr>
    </w:tbl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附：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光判读考察点范围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、读片规范及要点：约定俗成的读片方法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、光片质量鉴定：正确摆位；投照范围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、常规术语表述：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左侧（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L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）：动物左侧或左肢；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右侧（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R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）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: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动物右侧或右肢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背侧（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D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）：身体的上部，包括头、颈、背和尾的背侧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腹侧（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V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）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: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身体的下部，包括头、颈、胸、腹和尾的腹侧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拍摄中点：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射线中⼼心应位于拍摄部位正中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颈椎：胸椎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C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腰椎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T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，荐椎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L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，尾椎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S 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lastRenderedPageBreak/>
        <w:t>4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、机体的五种密度识别：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ab/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气体；脂肪；液体、软组织；骨骼、矿物质；金属、造影剂</w:t>
      </w:r>
    </w:p>
    <w:p w:rsidR="0009560F" w:rsidRDefault="00F66820">
      <w:pPr>
        <w:pStyle w:val="a6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主要脏器判读简单描述线条图：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心脏；肝脏；消化系统；膀胱；尿道</w:t>
      </w:r>
    </w:p>
    <w:p w:rsidR="0009560F" w:rsidRDefault="00F66820">
      <w:pPr>
        <w:pStyle w:val="a6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运动系统判读：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骨骼；关节（髋关节、膝关节）；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十字韧带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、常见缩写：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ab/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F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：胃底；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PA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：幽门窦；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D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：十二指肠；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C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：盲肠；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CO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：结肠；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RK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：右肾；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LK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：左肾；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SpT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：脾脏的尾部；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Pr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：前列腺；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UB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：膀胱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、影像特征描述：清晰描述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光片的影像特征</w:t>
      </w:r>
    </w:p>
    <w:p w:rsidR="0009560F" w:rsidRDefault="00F66820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、最终疾病判断：正确描述疾病</w:t>
      </w:r>
    </w:p>
    <w:sectPr w:rsidR="0009560F" w:rsidSect="0009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20" w:rsidRDefault="00F66820" w:rsidP="00F56855">
      <w:r>
        <w:separator/>
      </w:r>
    </w:p>
  </w:endnote>
  <w:endnote w:type="continuationSeparator" w:id="0">
    <w:p w:rsidR="00F66820" w:rsidRDefault="00F66820" w:rsidP="00F5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20" w:rsidRDefault="00F66820" w:rsidP="00F56855">
      <w:r>
        <w:separator/>
      </w:r>
    </w:p>
  </w:footnote>
  <w:footnote w:type="continuationSeparator" w:id="0">
    <w:p w:rsidR="00F66820" w:rsidRDefault="00F66820" w:rsidP="00F56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CD6E"/>
    <w:multiLevelType w:val="singleLevel"/>
    <w:tmpl w:val="31CECD6E"/>
    <w:lvl w:ilvl="0">
      <w:start w:val="5"/>
      <w:numFmt w:val="decimal"/>
      <w:suff w:val="nothing"/>
      <w:lvlText w:val="%1、"/>
      <w:lvlJc w:val="left"/>
    </w:lvl>
  </w:abstractNum>
  <w:abstractNum w:abstractNumId="1">
    <w:nsid w:val="66F34268"/>
    <w:multiLevelType w:val="multilevel"/>
    <w:tmpl w:val="66F3426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浩">
    <w15:presenceInfo w15:providerId="None" w15:userId="郭浩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g3MzAxMGVmNDdjZWM4NzU2NThkMTMxZWVhNGVhOGQifQ=="/>
  </w:docVars>
  <w:rsids>
    <w:rsidRoot w:val="00CF72C7"/>
    <w:rsid w:val="00000970"/>
    <w:rsid w:val="00030404"/>
    <w:rsid w:val="00041BFF"/>
    <w:rsid w:val="00043058"/>
    <w:rsid w:val="0005287B"/>
    <w:rsid w:val="00075AE7"/>
    <w:rsid w:val="0009560F"/>
    <w:rsid w:val="000E1890"/>
    <w:rsid w:val="000F2B45"/>
    <w:rsid w:val="000F4FEA"/>
    <w:rsid w:val="001142F1"/>
    <w:rsid w:val="00117022"/>
    <w:rsid w:val="0012547C"/>
    <w:rsid w:val="0012563F"/>
    <w:rsid w:val="00126BAF"/>
    <w:rsid w:val="00163BF8"/>
    <w:rsid w:val="00166456"/>
    <w:rsid w:val="001669D4"/>
    <w:rsid w:val="00193F50"/>
    <w:rsid w:val="00197084"/>
    <w:rsid w:val="001A2E70"/>
    <w:rsid w:val="001B3172"/>
    <w:rsid w:val="001B5970"/>
    <w:rsid w:val="001D0737"/>
    <w:rsid w:val="001D7255"/>
    <w:rsid w:val="001E0C18"/>
    <w:rsid w:val="001F14AF"/>
    <w:rsid w:val="00205F9F"/>
    <w:rsid w:val="00260082"/>
    <w:rsid w:val="00261984"/>
    <w:rsid w:val="00271557"/>
    <w:rsid w:val="002D6414"/>
    <w:rsid w:val="002E20DD"/>
    <w:rsid w:val="003203B8"/>
    <w:rsid w:val="0034518D"/>
    <w:rsid w:val="00357F85"/>
    <w:rsid w:val="003755B6"/>
    <w:rsid w:val="00384D0A"/>
    <w:rsid w:val="003B34FA"/>
    <w:rsid w:val="003D024D"/>
    <w:rsid w:val="003F4FCF"/>
    <w:rsid w:val="00423A49"/>
    <w:rsid w:val="004552E4"/>
    <w:rsid w:val="004B54EA"/>
    <w:rsid w:val="004D203C"/>
    <w:rsid w:val="004F3AEE"/>
    <w:rsid w:val="00531298"/>
    <w:rsid w:val="00556B2F"/>
    <w:rsid w:val="00586C83"/>
    <w:rsid w:val="005877C1"/>
    <w:rsid w:val="005A3F53"/>
    <w:rsid w:val="005B6EED"/>
    <w:rsid w:val="005D00F6"/>
    <w:rsid w:val="00633434"/>
    <w:rsid w:val="006438BA"/>
    <w:rsid w:val="0065446A"/>
    <w:rsid w:val="006569B7"/>
    <w:rsid w:val="006B7008"/>
    <w:rsid w:val="006C0B5B"/>
    <w:rsid w:val="00720C1C"/>
    <w:rsid w:val="00750C7C"/>
    <w:rsid w:val="00755E88"/>
    <w:rsid w:val="0077185B"/>
    <w:rsid w:val="00795929"/>
    <w:rsid w:val="007C5AA8"/>
    <w:rsid w:val="007E691B"/>
    <w:rsid w:val="007F7B1A"/>
    <w:rsid w:val="008169B6"/>
    <w:rsid w:val="008737E4"/>
    <w:rsid w:val="008A3B99"/>
    <w:rsid w:val="008B7EF3"/>
    <w:rsid w:val="00907BE0"/>
    <w:rsid w:val="009201F5"/>
    <w:rsid w:val="00946D29"/>
    <w:rsid w:val="009678D9"/>
    <w:rsid w:val="00976314"/>
    <w:rsid w:val="009935CF"/>
    <w:rsid w:val="009A3669"/>
    <w:rsid w:val="009D4B21"/>
    <w:rsid w:val="00A15C00"/>
    <w:rsid w:val="00A23E3A"/>
    <w:rsid w:val="00A62C65"/>
    <w:rsid w:val="00AC2977"/>
    <w:rsid w:val="00AD664A"/>
    <w:rsid w:val="00B54E5A"/>
    <w:rsid w:val="00B6080C"/>
    <w:rsid w:val="00BA4FFA"/>
    <w:rsid w:val="00BB539C"/>
    <w:rsid w:val="00BC03DD"/>
    <w:rsid w:val="00BD474E"/>
    <w:rsid w:val="00BE52FC"/>
    <w:rsid w:val="00C3195F"/>
    <w:rsid w:val="00C33CAC"/>
    <w:rsid w:val="00C52502"/>
    <w:rsid w:val="00C540B6"/>
    <w:rsid w:val="00CE0C62"/>
    <w:rsid w:val="00CF72C7"/>
    <w:rsid w:val="00D21D5D"/>
    <w:rsid w:val="00D4411F"/>
    <w:rsid w:val="00D56AA8"/>
    <w:rsid w:val="00D67FB5"/>
    <w:rsid w:val="00DB230A"/>
    <w:rsid w:val="00DD2137"/>
    <w:rsid w:val="00DF2443"/>
    <w:rsid w:val="00E06798"/>
    <w:rsid w:val="00E1785C"/>
    <w:rsid w:val="00E2575D"/>
    <w:rsid w:val="00E36669"/>
    <w:rsid w:val="00E81C0E"/>
    <w:rsid w:val="00E8289C"/>
    <w:rsid w:val="00F02C15"/>
    <w:rsid w:val="00F56855"/>
    <w:rsid w:val="00F66820"/>
    <w:rsid w:val="00F711B5"/>
    <w:rsid w:val="00F87BAD"/>
    <w:rsid w:val="00FB3E7D"/>
    <w:rsid w:val="00FD3030"/>
    <w:rsid w:val="00FD4C16"/>
    <w:rsid w:val="026A66B6"/>
    <w:rsid w:val="03F86B1C"/>
    <w:rsid w:val="04552119"/>
    <w:rsid w:val="059D6CFD"/>
    <w:rsid w:val="06E45A7E"/>
    <w:rsid w:val="07231F7C"/>
    <w:rsid w:val="08F5228E"/>
    <w:rsid w:val="0B0B79DB"/>
    <w:rsid w:val="0B5037C0"/>
    <w:rsid w:val="0DBA0703"/>
    <w:rsid w:val="0F3A67B7"/>
    <w:rsid w:val="10322682"/>
    <w:rsid w:val="10914ADA"/>
    <w:rsid w:val="113B5005"/>
    <w:rsid w:val="13693592"/>
    <w:rsid w:val="14F11A91"/>
    <w:rsid w:val="15EE6035"/>
    <w:rsid w:val="184B3B76"/>
    <w:rsid w:val="1B5E7EFF"/>
    <w:rsid w:val="1B8D7652"/>
    <w:rsid w:val="1D4F1A4B"/>
    <w:rsid w:val="1D8D4532"/>
    <w:rsid w:val="1E3E1933"/>
    <w:rsid w:val="1F145FB2"/>
    <w:rsid w:val="1F4F6F53"/>
    <w:rsid w:val="1FE53063"/>
    <w:rsid w:val="2025553F"/>
    <w:rsid w:val="202F25E1"/>
    <w:rsid w:val="21401602"/>
    <w:rsid w:val="22A057ED"/>
    <w:rsid w:val="23E95527"/>
    <w:rsid w:val="25825277"/>
    <w:rsid w:val="29827C43"/>
    <w:rsid w:val="2BCD49DC"/>
    <w:rsid w:val="2BDE55E4"/>
    <w:rsid w:val="2C3D1DFA"/>
    <w:rsid w:val="2CDA3E76"/>
    <w:rsid w:val="2DD871B4"/>
    <w:rsid w:val="30BD013A"/>
    <w:rsid w:val="339822C9"/>
    <w:rsid w:val="37CD4424"/>
    <w:rsid w:val="383B3AEE"/>
    <w:rsid w:val="39156C08"/>
    <w:rsid w:val="39A32DD1"/>
    <w:rsid w:val="3C660FB4"/>
    <w:rsid w:val="3CB0358F"/>
    <w:rsid w:val="3E922FC0"/>
    <w:rsid w:val="3F0F2CCF"/>
    <w:rsid w:val="3F283A52"/>
    <w:rsid w:val="431139B8"/>
    <w:rsid w:val="43F55CA8"/>
    <w:rsid w:val="44FF7003"/>
    <w:rsid w:val="45C02FB7"/>
    <w:rsid w:val="47A31EE7"/>
    <w:rsid w:val="47CD5197"/>
    <w:rsid w:val="485A4042"/>
    <w:rsid w:val="4DB03590"/>
    <w:rsid w:val="4E0B2F10"/>
    <w:rsid w:val="50243DC2"/>
    <w:rsid w:val="50D6330E"/>
    <w:rsid w:val="50F837F1"/>
    <w:rsid w:val="53D53D51"/>
    <w:rsid w:val="581F559B"/>
    <w:rsid w:val="58461AC6"/>
    <w:rsid w:val="59BA578B"/>
    <w:rsid w:val="59CC6B37"/>
    <w:rsid w:val="5C611DB0"/>
    <w:rsid w:val="5D0B433F"/>
    <w:rsid w:val="5DB53699"/>
    <w:rsid w:val="5DEB018A"/>
    <w:rsid w:val="5FA0555C"/>
    <w:rsid w:val="60B1411A"/>
    <w:rsid w:val="61B7289D"/>
    <w:rsid w:val="620F48D2"/>
    <w:rsid w:val="65594C86"/>
    <w:rsid w:val="6ABF284E"/>
    <w:rsid w:val="6B9E2EC0"/>
    <w:rsid w:val="6CA11687"/>
    <w:rsid w:val="6CB503E4"/>
    <w:rsid w:val="6CB87914"/>
    <w:rsid w:val="71BF45EC"/>
    <w:rsid w:val="766155BB"/>
    <w:rsid w:val="7A8C6300"/>
    <w:rsid w:val="7C084414"/>
    <w:rsid w:val="7DE7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rsid w:val="0009560F"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uiPriority w:val="1"/>
    <w:qFormat/>
    <w:rsid w:val="0009560F"/>
    <w:pPr>
      <w:ind w:left="100" w:hanging="3060"/>
      <w:outlineLvl w:val="0"/>
    </w:pPr>
    <w:rPr>
      <w:rFonts w:ascii="黑体" w:eastAsia="黑体" w:hAnsi="黑体" w:cs="黑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956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956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95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9560F"/>
    <w:pPr>
      <w:spacing w:beforeAutospacing="1" w:afterAutospacing="1"/>
    </w:pPr>
  </w:style>
  <w:style w:type="table" w:styleId="a7">
    <w:name w:val="Table Grid"/>
    <w:basedOn w:val="a1"/>
    <w:uiPriority w:val="59"/>
    <w:qFormat/>
    <w:rsid w:val="00095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9560F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09560F"/>
    <w:rPr>
      <w:rFonts w:ascii="宋体" w:eastAsia="宋体" w:hAnsi="宋体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9560F"/>
    <w:rPr>
      <w:rFonts w:ascii="宋体" w:eastAsia="宋体" w:hAnsi="宋体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9560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9560F"/>
    <w:rPr>
      <w:rFonts w:ascii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874B-52A8-4C13-ABFE-968376DE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952</Words>
  <Characters>5428</Characters>
  <Application>Microsoft Office Word</Application>
  <DocSecurity>0</DocSecurity>
  <Lines>45</Lines>
  <Paragraphs>12</Paragraphs>
  <ScaleCrop>false</ScaleCrop>
  <Company>P R C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吴蕾</cp:lastModifiedBy>
  <cp:revision>53</cp:revision>
  <dcterms:created xsi:type="dcterms:W3CDTF">2023-02-20T08:12:00Z</dcterms:created>
  <dcterms:modified xsi:type="dcterms:W3CDTF">2023-09-06T07:58:00Z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24A7E8CF6D134FFBBE6A9C312E4E9408_12</vt:lpwstr>
  </property>
</Properties>
</file>