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74" w:rsidRDefault="00FD6F08">
      <w:pPr>
        <w:jc w:val="center"/>
        <w:rPr>
          <w:rStyle w:val="a9"/>
          <w:rFonts w:ascii="方正小标宋简体" w:eastAsia="方正小标宋简体"/>
          <w:b w:val="0"/>
          <w:sz w:val="44"/>
          <w:szCs w:val="44"/>
        </w:rPr>
      </w:pPr>
      <w:r>
        <w:rPr>
          <w:rStyle w:val="a9"/>
          <w:rFonts w:ascii="方正小标宋简体" w:eastAsia="方正小标宋简体" w:hint="eastAsia"/>
          <w:b w:val="0"/>
          <w:sz w:val="44"/>
          <w:szCs w:val="44"/>
        </w:rPr>
        <w:t>山东省动物防疫条件审查场所</w:t>
      </w:r>
    </w:p>
    <w:p w:rsidR="00882F74" w:rsidRDefault="00FD6F08">
      <w:pPr>
        <w:jc w:val="center"/>
        <w:rPr>
          <w:rStyle w:val="a9"/>
          <w:rFonts w:ascii="方正小标宋简体" w:eastAsia="方正小标宋简体"/>
          <w:b w:val="0"/>
          <w:sz w:val="44"/>
          <w:szCs w:val="44"/>
        </w:rPr>
      </w:pPr>
      <w:r>
        <w:rPr>
          <w:rStyle w:val="a9"/>
          <w:rFonts w:ascii="方正小标宋简体" w:eastAsia="方正小标宋简体" w:hint="eastAsia"/>
          <w:b w:val="0"/>
          <w:sz w:val="44"/>
          <w:szCs w:val="44"/>
        </w:rPr>
        <w:t>选址评估办法（征求意见稿）</w:t>
      </w:r>
    </w:p>
    <w:p w:rsidR="00882F74" w:rsidRDefault="00882F74">
      <w:pPr>
        <w:ind w:firstLineChars="200" w:firstLine="640"/>
        <w:rPr>
          <w:rStyle w:val="a9"/>
          <w:rFonts w:ascii="黑体" w:eastAsia="黑体" w:hAnsi="黑体"/>
          <w:b w:val="0"/>
          <w:sz w:val="32"/>
          <w:szCs w:val="32"/>
        </w:rPr>
      </w:pP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第一条</w:t>
      </w:r>
      <w:r>
        <w:rPr>
          <w:rFonts w:eastAsia="仿宋_GB2312" w:hint="eastAsia"/>
          <w:sz w:val="32"/>
          <w:szCs w:val="32"/>
        </w:rPr>
        <w:t xml:space="preserve">  </w:t>
      </w:r>
      <w:r>
        <w:rPr>
          <w:rFonts w:ascii="仿宋_GB2312" w:eastAsia="仿宋_GB2312" w:hint="eastAsia"/>
          <w:sz w:val="32"/>
          <w:szCs w:val="32"/>
        </w:rPr>
        <w:t>为优化动物防疫条件审查工作，促进畜牧业高质量发展，根据《中华人民共和国畜牧法》《中华人民共和国动物防疫法》《山东省动物防疫条例》《动物防疫条件审查办法》等有关规定，结合工作实际，制定本办法。</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第二条</w:t>
      </w:r>
      <w:r>
        <w:rPr>
          <w:rFonts w:eastAsia="仿宋_GB2312" w:hint="eastAsia"/>
          <w:sz w:val="32"/>
          <w:szCs w:val="32"/>
        </w:rPr>
        <w:t xml:space="preserve">  </w:t>
      </w:r>
      <w:r>
        <w:rPr>
          <w:rFonts w:ascii="仿宋_GB2312" w:eastAsia="仿宋_GB2312" w:hint="eastAsia"/>
          <w:sz w:val="32"/>
          <w:szCs w:val="32"/>
        </w:rPr>
        <w:t>本办法适用于山东省行政区域内开办动物饲养场、动物隔离场所、动物屠宰加工场所、动物和动物产品无害化处理场所的动物防疫条件选址距离的评估。</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第三条</w:t>
      </w:r>
      <w:r>
        <w:rPr>
          <w:rFonts w:eastAsia="仿宋_GB2312" w:hint="eastAsia"/>
          <w:sz w:val="32"/>
          <w:szCs w:val="32"/>
        </w:rPr>
        <w:t xml:space="preserve">  </w:t>
      </w:r>
      <w:r>
        <w:rPr>
          <w:rFonts w:ascii="仿宋_GB2312" w:eastAsia="仿宋_GB2312" w:hint="eastAsia"/>
          <w:sz w:val="32"/>
          <w:szCs w:val="32"/>
        </w:rPr>
        <w:t>县级人民政府农业农村主管部门负责动物饲养场、动物隔离场所、动物屠宰加工场所、动物和动物产品无害化处理场所的动物防疫条件选址距离评估工作。</w:t>
      </w:r>
    </w:p>
    <w:p w:rsidR="00882F74" w:rsidRDefault="00FD6F08">
      <w:pPr>
        <w:ind w:firstLineChars="200" w:firstLine="640"/>
        <w:rPr>
          <w:rFonts w:ascii="仿宋_GB2312" w:eastAsia="仿宋_GB2312"/>
          <w:sz w:val="32"/>
          <w:szCs w:val="32"/>
        </w:rPr>
      </w:pPr>
      <w:r>
        <w:rPr>
          <w:rFonts w:ascii="黑体" w:eastAsia="黑体" w:hAnsi="黑体" w:hint="eastAsia"/>
          <w:sz w:val="32"/>
          <w:szCs w:val="32"/>
        </w:rPr>
        <w:t>第四条</w:t>
      </w:r>
      <w:r>
        <w:rPr>
          <w:rFonts w:eastAsia="仿宋_GB2312" w:hint="eastAsia"/>
          <w:sz w:val="32"/>
          <w:szCs w:val="32"/>
        </w:rPr>
        <w:t xml:space="preserve">  </w:t>
      </w:r>
      <w:r>
        <w:rPr>
          <w:rFonts w:ascii="仿宋_GB2312" w:eastAsia="仿宋_GB2312" w:hint="eastAsia"/>
          <w:sz w:val="32"/>
          <w:szCs w:val="32"/>
        </w:rPr>
        <w:t>动物饲养场、动物隔离场所、动物屠宰加工场所、动物和动物产品无害化处理场所的选址应当符合畜牧业发展规划、畜禽养殖污染防治规划等相关区域规划，不符合规划的不予评估。</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第五条</w:t>
      </w:r>
      <w:r>
        <w:rPr>
          <w:rFonts w:eastAsia="仿宋_GB2312" w:hint="eastAsia"/>
          <w:sz w:val="32"/>
          <w:szCs w:val="32"/>
        </w:rPr>
        <w:t xml:space="preserve">  </w:t>
      </w:r>
      <w:r>
        <w:rPr>
          <w:rFonts w:ascii="仿宋_GB2312" w:eastAsia="仿宋_GB2312" w:hint="eastAsia"/>
          <w:sz w:val="32"/>
          <w:szCs w:val="32"/>
        </w:rPr>
        <w:t>开办动物饲养场、动物隔离场所、动物屠宰加工场所、动物和动物产品无害化处理场所，应当向县级人民政府农业农村主管部门提交选址需求，并如实提供以下材料：</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（一）场所位置概况（包括选址地点、周边与动物防疫</w:t>
      </w:r>
      <w:r>
        <w:rPr>
          <w:rFonts w:ascii="仿宋_GB2312" w:eastAsia="仿宋_GB2312" w:hint="eastAsia"/>
          <w:sz w:val="32"/>
          <w:szCs w:val="32"/>
        </w:rPr>
        <w:lastRenderedPageBreak/>
        <w:t>条件审查有关场所分布距离以及天然屏障状况）；</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（二）场所建设方案（包括场区平面</w:t>
      </w:r>
      <w:r>
        <w:rPr>
          <w:rFonts w:ascii="仿宋_GB2312" w:eastAsia="仿宋_GB2312" w:hAnsi="宋体" w:cs="宋体" w:hint="eastAsia"/>
          <w:sz w:val="32"/>
          <w:szCs w:val="32"/>
        </w:rPr>
        <w:t>布局、人工屏障建筑方式、</w:t>
      </w:r>
      <w:r>
        <w:rPr>
          <w:rFonts w:ascii="仿宋_GB2312" w:eastAsia="仿宋_GB2312" w:hint="eastAsia"/>
          <w:sz w:val="32"/>
          <w:szCs w:val="32"/>
        </w:rPr>
        <w:t>设计生产规模、涉及畜禽种类等）；</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（三）动物防疫措施（包括清洗消毒设施设备、无害化处理方式、污水污物处理设施设备、生物安全管理制度等）。</w:t>
      </w:r>
    </w:p>
    <w:p w:rsidR="00882F74" w:rsidRDefault="00FD6F08">
      <w:pPr>
        <w:ind w:firstLineChars="200" w:firstLine="640"/>
        <w:rPr>
          <w:szCs w:val="21"/>
        </w:rPr>
      </w:pPr>
      <w:r>
        <w:rPr>
          <w:rFonts w:ascii="仿宋_GB2312" w:eastAsia="仿宋_GB2312" w:hint="eastAsia"/>
          <w:sz w:val="32"/>
          <w:szCs w:val="32"/>
        </w:rPr>
        <w:t>（四）《山东省动物防疫条件审查场所选址需求申报表》、申报人身份证明或法人资格证明复印件。</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申报材料不齐全或不符合规定条件的，县级人民政府农业农村主管部门应自收到申报材料之日起5个工作日内，一次性告知申报人需补正的全部内容。</w:t>
      </w:r>
    </w:p>
    <w:p w:rsidR="00882F74" w:rsidRDefault="00FD6F08">
      <w:pPr>
        <w:ind w:firstLineChars="200" w:firstLine="640"/>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选址距离评估采用书面资料审查和现场勘察相结合的方式进行。</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第七条</w:t>
      </w:r>
      <w:r>
        <w:rPr>
          <w:rFonts w:eastAsia="仿宋_GB2312" w:hint="eastAsia"/>
          <w:sz w:val="32"/>
          <w:szCs w:val="32"/>
        </w:rPr>
        <w:t xml:space="preserve">  </w:t>
      </w:r>
      <w:r>
        <w:rPr>
          <w:rFonts w:ascii="仿宋_GB2312" w:eastAsia="仿宋_GB2312" w:hint="eastAsia"/>
          <w:sz w:val="32"/>
          <w:szCs w:val="32"/>
        </w:rPr>
        <w:t>动物饲养场选址满足以下距离条件的，无需进行评估，直接确认选址。</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（一）距离生活饮用水源地、动物屠宰加工场所、动物和动物产品集贸市场500米以上；距离种畜禽场1000米以上；距离动物诊疗场所200米以上；动物饲养场之间距离500米以上；</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（二）距离动物隔离场所、动物和动物产品无害化处理场所3000米以上；</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（三）距离城镇居民区、学校、医院等公共场所及公路、铁路等主要交通干线500米以上。</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lastRenderedPageBreak/>
        <w:t>第八条</w:t>
      </w:r>
      <w:r>
        <w:rPr>
          <w:rFonts w:eastAsia="仿宋_GB2312" w:hint="eastAsia"/>
          <w:sz w:val="32"/>
          <w:szCs w:val="32"/>
        </w:rPr>
        <w:t xml:space="preserve">  </w:t>
      </w:r>
      <w:r>
        <w:rPr>
          <w:rFonts w:ascii="仿宋_GB2312" w:eastAsia="仿宋_GB2312" w:hint="eastAsia"/>
          <w:sz w:val="32"/>
          <w:szCs w:val="32"/>
        </w:rPr>
        <w:t>动物隔离场所选址满足以下距离条件的，无需进行评估，直接确认选址。</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（一）距离动物饲养场、种畜禽场、动物屠宰加工场所、动物和动物产品无害化处理场所、动物诊疗场所、动物和动物产品集贸市场以及其他动物隔离场3000米以上；</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（二）距离城镇居民区、学校、医院等公共场所及公路、铁路等主要交通干线、生活饮用水源地500米以上。</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第九条</w:t>
      </w:r>
      <w:r>
        <w:rPr>
          <w:rFonts w:eastAsia="仿宋_GB2312" w:hint="eastAsia"/>
          <w:sz w:val="32"/>
          <w:szCs w:val="32"/>
        </w:rPr>
        <w:t xml:space="preserve">  </w:t>
      </w:r>
      <w:r>
        <w:rPr>
          <w:rFonts w:ascii="仿宋_GB2312" w:eastAsia="仿宋_GB2312" w:hint="eastAsia"/>
          <w:sz w:val="32"/>
          <w:szCs w:val="32"/>
        </w:rPr>
        <w:t>动物屠宰加工场所选址满足以下距离条件的，无需进行评估，直接确认选址。</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（一）距离生活饮用水源地、动物饲养场、动物集贸市场500米以上；距离种畜禽场3000米以上；距离动物诊疗场所200米以上；</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（二）距离动物隔离场所、动物和动物产品无害化处理场所3000米以上。</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第十条</w:t>
      </w:r>
      <w:r>
        <w:rPr>
          <w:rFonts w:eastAsia="仿宋_GB2312" w:hint="eastAsia"/>
          <w:sz w:val="32"/>
          <w:szCs w:val="32"/>
        </w:rPr>
        <w:t xml:space="preserve">  </w:t>
      </w:r>
      <w:r>
        <w:rPr>
          <w:rFonts w:ascii="仿宋_GB2312" w:eastAsia="仿宋_GB2312" w:hint="eastAsia"/>
          <w:sz w:val="32"/>
          <w:szCs w:val="32"/>
        </w:rPr>
        <w:t>动物和动物产品无害化处理场所选址满足以下距离条件的，无需进行评估，直接确认选址。</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（一）距离动物养殖场、种畜禽场、动物屠宰加工场所、动物隔离场所、动物诊疗场所、动物和动物产品集贸市场、生活饮用水源地3000米以上；</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（二）距离城镇居民区、学校、医院等公共场所及公路、铁路等主要交通干线500米以上。</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第十一条</w:t>
      </w:r>
      <w:r>
        <w:rPr>
          <w:rFonts w:eastAsia="仿宋_GB2312" w:hint="eastAsia"/>
          <w:sz w:val="32"/>
          <w:szCs w:val="32"/>
        </w:rPr>
        <w:t xml:space="preserve"> </w:t>
      </w:r>
      <w:r>
        <w:rPr>
          <w:rFonts w:ascii="仿宋_GB2312" w:eastAsia="仿宋_GB2312" w:hint="eastAsia"/>
          <w:sz w:val="32"/>
          <w:szCs w:val="32"/>
        </w:rPr>
        <w:t xml:space="preserve"> 动物饲养场、动物隔离场所、动物屠宰加工</w:t>
      </w:r>
      <w:r>
        <w:rPr>
          <w:rFonts w:ascii="仿宋_GB2312" w:eastAsia="仿宋_GB2312" w:hint="eastAsia"/>
          <w:sz w:val="32"/>
          <w:szCs w:val="32"/>
        </w:rPr>
        <w:lastRenderedPageBreak/>
        <w:t>场所、动物和动物产品无害化处理场所的选址距离不符合本办法第七条至第十条的，县级人民政府农业农村主管部门组织评估专家组结合场所周边的天然屏障、人工屏障、生产环境、动物分布等情况，以及动物疫病发生、流行和控制等因素进行综合评估，根据评估情况确认选址。</w:t>
      </w:r>
    </w:p>
    <w:p w:rsidR="00882F74" w:rsidRDefault="00FD6F08">
      <w:pPr>
        <w:spacing w:line="600" w:lineRule="exact"/>
        <w:ind w:firstLineChars="200" w:firstLine="640"/>
        <w:rPr>
          <w:rFonts w:ascii="仿宋_GB2312" w:eastAsia="仿宋_GB2312" w:hAnsi="宋体"/>
          <w:sz w:val="32"/>
          <w:szCs w:val="32"/>
        </w:rPr>
      </w:pPr>
      <w:r>
        <w:rPr>
          <w:rFonts w:ascii="黑体" w:eastAsia="黑体" w:hAnsi="黑体" w:hint="eastAsia"/>
          <w:sz w:val="32"/>
          <w:szCs w:val="32"/>
        </w:rPr>
        <w:t xml:space="preserve">第十二条  </w:t>
      </w:r>
      <w:r>
        <w:rPr>
          <w:rFonts w:ascii="仿宋_GB2312" w:eastAsia="仿宋_GB2312" w:hAnsi="宋体" w:hint="eastAsia"/>
          <w:sz w:val="32"/>
          <w:szCs w:val="32"/>
        </w:rPr>
        <w:t>动物饲养场、动物隔离场所重点评估以下内容：</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（一）具有污水污物处理设施设备和防渗防漏措施，能有效防止动物饲养场、动物隔离场所污染饮用水；</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（二）周边有河流、湖泊、树林、山丘、大型沟壑等天然屏障或者建设实体院墙、密闭围挡</w:t>
      </w:r>
      <w:bookmarkStart w:id="0" w:name="_GoBack"/>
      <w:bookmarkEnd w:id="0"/>
      <w:r>
        <w:rPr>
          <w:rFonts w:ascii="仿宋_GB2312" w:eastAsia="仿宋_GB2312" w:hAnsi="宋体" w:hint="eastAsia"/>
          <w:sz w:val="32"/>
          <w:szCs w:val="32"/>
        </w:rPr>
        <w:t>（不具有隔离作用的栅栏、铁丝网等除外）、防疫壕沟等人工屏障，使其与其他动物饲养场、动物隔离场所、动物屠宰加工场所、动物和动物产品无害化处理场所、动物诊疗场所、动物和动物产品集贸市场、城镇居民区、学校、医院等公共场所以及公路、铁路等主要交通干线实现物理隔离，防止病原微生物近距离传播；</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（三）具有与其规模相适应的清洗消毒设施设备；</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（四）周边3公里畜禽养殖分布状况。</w:t>
      </w:r>
    </w:p>
    <w:p w:rsidR="00882F74" w:rsidRDefault="00FD6F08">
      <w:pPr>
        <w:spacing w:line="600" w:lineRule="exact"/>
        <w:ind w:firstLineChars="200" w:firstLine="640"/>
        <w:rPr>
          <w:rFonts w:ascii="仿宋_GB2312" w:eastAsia="仿宋_GB2312" w:hAnsi="宋体"/>
          <w:sz w:val="32"/>
          <w:szCs w:val="32"/>
        </w:rPr>
      </w:pPr>
      <w:r>
        <w:rPr>
          <w:rFonts w:ascii="黑体" w:eastAsia="黑体" w:hAnsi="黑体" w:hint="eastAsia"/>
          <w:sz w:val="32"/>
          <w:szCs w:val="32"/>
        </w:rPr>
        <w:t>第十三条</w:t>
      </w:r>
      <w:r>
        <w:rPr>
          <w:rFonts w:ascii="仿宋_GB2312" w:eastAsia="仿宋_GB2312" w:hAnsi="宋体" w:hint="eastAsia"/>
          <w:sz w:val="32"/>
          <w:szCs w:val="32"/>
        </w:rPr>
        <w:t xml:space="preserve">  动物屠宰加工场所重点评估以下内容：</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（一）具有污水污物处理设施设备和防渗防漏措施，能有效防止动物屠宰加工场所污染饮用水；</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（二）周边有河流、湖泊、树林、山丘、大型沟壑等天</w:t>
      </w:r>
      <w:r>
        <w:rPr>
          <w:rFonts w:ascii="仿宋_GB2312" w:eastAsia="仿宋_GB2312" w:hAnsi="宋体" w:hint="eastAsia"/>
          <w:sz w:val="32"/>
          <w:szCs w:val="32"/>
        </w:rPr>
        <w:lastRenderedPageBreak/>
        <w:t>然屏障或者建设实体院墙、密闭围挡（不具有隔离作用的栅栏、铁丝网等除外）、防疫壕沟等人工屏障，使其与动物饲养场、动物隔离场所、动物和动物产品无害化处理场所、动物诊疗场所、动物和动物产品集贸市场实现物理隔离，防止病原微生物近距离传播；</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（三）具有与其规模相适应的清洗消毒设施设备。</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（四）周边3公里畜禽养殖分布状况。</w:t>
      </w:r>
    </w:p>
    <w:p w:rsidR="00882F74" w:rsidRDefault="00FD6F08">
      <w:pPr>
        <w:spacing w:line="600" w:lineRule="exact"/>
        <w:ind w:firstLineChars="200" w:firstLine="640"/>
        <w:rPr>
          <w:rFonts w:ascii="仿宋_GB2312" w:eastAsia="仿宋_GB2312" w:hAnsi="宋体"/>
          <w:sz w:val="32"/>
          <w:szCs w:val="32"/>
        </w:rPr>
      </w:pPr>
      <w:r>
        <w:rPr>
          <w:rFonts w:ascii="黑体" w:eastAsia="黑体" w:hAnsi="黑体" w:hint="eastAsia"/>
          <w:sz w:val="32"/>
          <w:szCs w:val="32"/>
        </w:rPr>
        <w:t>第十四条</w:t>
      </w:r>
      <w:r>
        <w:rPr>
          <w:rFonts w:ascii="仿宋_GB2312" w:eastAsia="仿宋_GB2312" w:hAnsi="宋体" w:hint="eastAsia"/>
          <w:sz w:val="32"/>
          <w:szCs w:val="32"/>
        </w:rPr>
        <w:t xml:space="preserve">  对于动物和动物产品无害化处理场所，重点评估以下内容：</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（一）具有污水污物处理设施设备和防渗防漏措施，能有效防止动物和动物产品无害化处理场所污染饮用水；</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周边有河流、湖泊、树林、山丘、大型沟壑等天然屏障或者建设实体院墙、密闭围挡（不具有隔离作用的栅栏、铁丝网等除外）、防疫壕沟等人工屏障，使其与动物饲养场、动物隔离场所、动物屠宰加工场所、动物诊疗场所、动物和动物产品集贸市场、城镇居民区、学校、医院等公共场所及公路、铁路等主要交通干线实现物理隔离，防止病原微生物近距离传播；</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（三）具有与其规模相适应的清洗消毒设施设备。</w:t>
      </w:r>
    </w:p>
    <w:p w:rsidR="00882F74" w:rsidRDefault="00FD6F0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（四）周边3公里畜禽养殖分布状况。</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第十五条</w:t>
      </w:r>
      <w:r>
        <w:rPr>
          <w:rFonts w:eastAsia="仿宋_GB2312" w:hint="eastAsia"/>
          <w:sz w:val="32"/>
          <w:szCs w:val="32"/>
        </w:rPr>
        <w:t xml:space="preserve">  </w:t>
      </w:r>
      <w:r>
        <w:rPr>
          <w:rFonts w:ascii="仿宋_GB2312" w:eastAsia="仿宋_GB2312" w:hint="eastAsia"/>
          <w:sz w:val="32"/>
          <w:szCs w:val="32"/>
        </w:rPr>
        <w:t>评估组专家人数为3人或5人，指定1人担任组长，实行组长负责制。评估专家需具有畜牧兽医相关专业中级以上技术职称或畜牧兽医相关专业大专以上学历，并</w:t>
      </w:r>
      <w:r>
        <w:rPr>
          <w:rFonts w:ascii="仿宋_GB2312" w:eastAsia="仿宋_GB2312" w:hint="eastAsia"/>
          <w:sz w:val="32"/>
          <w:szCs w:val="32"/>
        </w:rPr>
        <w:lastRenderedPageBreak/>
        <w:t>从事畜牧兽医行政管理、动物卫生监督、动物疫病防控、屠宰行业管理、畜牧兽医教学科研等相关工作满5年。有条件的可成立专家库，每次评估前从专家库中随机抽取专家。</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第十六条</w:t>
      </w:r>
      <w:r>
        <w:rPr>
          <w:rFonts w:eastAsia="仿宋_GB2312" w:hint="eastAsia"/>
          <w:sz w:val="32"/>
          <w:szCs w:val="32"/>
        </w:rPr>
        <w:t xml:space="preserve">  </w:t>
      </w:r>
      <w:r>
        <w:rPr>
          <w:rFonts w:ascii="仿宋_GB2312" w:eastAsia="仿宋_GB2312" w:hint="eastAsia"/>
          <w:sz w:val="32"/>
          <w:szCs w:val="32"/>
        </w:rPr>
        <w:t>评估专家组按照相应场所的重点评估内容，根据申报材料和实地勘察情况进行量化评估打分。</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第十七条</w:t>
      </w:r>
      <w:r>
        <w:rPr>
          <w:rFonts w:eastAsia="仿宋_GB2312" w:hint="eastAsia"/>
          <w:sz w:val="32"/>
          <w:szCs w:val="32"/>
        </w:rPr>
        <w:t xml:space="preserve">  </w:t>
      </w:r>
      <w:r>
        <w:rPr>
          <w:rFonts w:ascii="仿宋_GB2312" w:eastAsia="仿宋_GB2312" w:hint="eastAsia"/>
          <w:sz w:val="32"/>
          <w:szCs w:val="32"/>
        </w:rPr>
        <w:t>评估结束后，专家组应当在3个工作日内出具通过选址距离评估或未通过选址距离评估的结论，其中，未通过评估的应列明不的主要原因。</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第十八条</w:t>
      </w:r>
      <w:r>
        <w:rPr>
          <w:rFonts w:eastAsia="仿宋_GB2312" w:hint="eastAsia"/>
          <w:sz w:val="32"/>
          <w:szCs w:val="32"/>
        </w:rPr>
        <w:t xml:space="preserve">  </w:t>
      </w:r>
      <w:r>
        <w:rPr>
          <w:rFonts w:ascii="仿宋_GB2312" w:eastAsia="仿宋_GB2312" w:hint="eastAsia"/>
          <w:sz w:val="32"/>
          <w:szCs w:val="32"/>
        </w:rPr>
        <w:t>县级人民政府农业农村主管部门自受理齐全申报材料之日起15个工作日内，根据专家组评估情况，作出“确认选址”或“不予确认”的意见，并告知申报人。</w:t>
      </w:r>
    </w:p>
    <w:p w:rsidR="00882F74" w:rsidRDefault="00FD6F08">
      <w:pPr>
        <w:ind w:firstLineChars="200" w:firstLine="640"/>
        <w:rPr>
          <w:rFonts w:ascii="黑体" w:eastAsia="黑体" w:hAnsi="黑体"/>
          <w:sz w:val="32"/>
          <w:szCs w:val="32"/>
        </w:rPr>
      </w:pPr>
      <w:r>
        <w:rPr>
          <w:rFonts w:ascii="黑体" w:eastAsia="黑体" w:hAnsi="黑体" w:hint="eastAsia"/>
          <w:sz w:val="32"/>
          <w:szCs w:val="32"/>
        </w:rPr>
        <w:t xml:space="preserve">第十九条  </w:t>
      </w:r>
      <w:r>
        <w:rPr>
          <w:rFonts w:ascii="仿宋_GB2312" w:eastAsia="仿宋_GB2312" w:hAnsi="黑体" w:hint="eastAsia"/>
          <w:sz w:val="32"/>
          <w:szCs w:val="32"/>
        </w:rPr>
        <w:t>确认选址结果有效期为两年，有效期内该场所未申领动物防疫条件合格证的，应重新提交选址评估需求。</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第二十条</w:t>
      </w:r>
      <w:r>
        <w:rPr>
          <w:rFonts w:eastAsia="仿宋_GB2312" w:hint="eastAsia"/>
          <w:sz w:val="32"/>
          <w:szCs w:val="32"/>
        </w:rPr>
        <w:t xml:space="preserve">  </w:t>
      </w:r>
      <w:r>
        <w:rPr>
          <w:rFonts w:eastAsia="仿宋_GB2312" w:hint="eastAsia"/>
          <w:sz w:val="32"/>
          <w:szCs w:val="32"/>
        </w:rPr>
        <w:t>开办</w:t>
      </w:r>
      <w:r>
        <w:rPr>
          <w:rFonts w:ascii="仿宋_GB2312" w:eastAsia="仿宋_GB2312" w:hint="eastAsia"/>
          <w:sz w:val="32"/>
          <w:szCs w:val="32"/>
        </w:rPr>
        <w:t>动物饲养场、动物隔离场所、动物屠宰加工场所、动物和动物产品无害化处理场所，应当按照县级人民政府农业农村主管部门确认的选址进行建设，并配备相应设施设备。未按照确认选址建设或未实际配备相应设施设备的，视为不符合动物防疫条件选址要求。</w:t>
      </w:r>
    </w:p>
    <w:p w:rsidR="00882F74" w:rsidRDefault="00FD6F08" w:rsidP="00F41D16">
      <w:pPr>
        <w:ind w:firstLineChars="200" w:firstLine="643"/>
        <w:rPr>
          <w:rFonts w:ascii="仿宋_GB2312" w:eastAsia="仿宋_GB2312"/>
          <w:sz w:val="32"/>
          <w:szCs w:val="32"/>
        </w:rPr>
      </w:pPr>
      <w:r>
        <w:rPr>
          <w:rStyle w:val="a9"/>
          <w:rFonts w:ascii="黑体" w:eastAsia="黑体" w:hAnsi="黑体" w:hint="eastAsia"/>
          <w:sz w:val="32"/>
          <w:szCs w:val="32"/>
        </w:rPr>
        <w:t>第二十一条</w:t>
      </w:r>
      <w:r>
        <w:rPr>
          <w:rFonts w:eastAsia="仿宋_GB2312" w:hint="eastAsia"/>
          <w:sz w:val="32"/>
          <w:szCs w:val="32"/>
        </w:rPr>
        <w:t xml:space="preserve">  </w:t>
      </w:r>
      <w:r>
        <w:rPr>
          <w:rFonts w:ascii="仿宋_GB2312" w:eastAsia="仿宋_GB2312" w:hint="eastAsia"/>
          <w:sz w:val="32"/>
          <w:szCs w:val="32"/>
        </w:rPr>
        <w:t>动物饲养场、动物隔离场所、动物屠宰加工场所、动物和动物产品无害化处理场所变更场址或经营范围的，应依据《动物防疫条件审查办法》的有关规定重新申请办理《动物防疫条件合格证》，县级人民政府农业农村主</w:t>
      </w:r>
      <w:r>
        <w:rPr>
          <w:rFonts w:ascii="仿宋_GB2312" w:eastAsia="仿宋_GB2312" w:hint="eastAsia"/>
          <w:sz w:val="32"/>
          <w:szCs w:val="32"/>
        </w:rPr>
        <w:lastRenderedPageBreak/>
        <w:t>管部门受理后应当重新组织选址评估。</w:t>
      </w:r>
    </w:p>
    <w:p w:rsidR="00882F74" w:rsidRDefault="00FD6F08">
      <w:pPr>
        <w:ind w:firstLineChars="200" w:firstLine="640"/>
        <w:rPr>
          <w:rFonts w:ascii="仿宋_GB2312" w:eastAsia="仿宋_GB2312"/>
          <w:sz w:val="32"/>
          <w:szCs w:val="32"/>
        </w:rPr>
      </w:pPr>
      <w:r>
        <w:rPr>
          <w:rStyle w:val="a9"/>
          <w:rFonts w:ascii="黑体" w:eastAsia="黑体" w:hAnsi="黑体" w:hint="eastAsia"/>
          <w:b w:val="0"/>
          <w:sz w:val="32"/>
          <w:szCs w:val="32"/>
        </w:rPr>
        <w:t>第二十二条</w:t>
      </w:r>
      <w:r>
        <w:rPr>
          <w:rFonts w:eastAsia="仿宋_GB2312" w:hint="eastAsia"/>
          <w:sz w:val="32"/>
          <w:szCs w:val="32"/>
        </w:rPr>
        <w:t xml:space="preserve">  </w:t>
      </w:r>
      <w:r>
        <w:rPr>
          <w:rFonts w:ascii="仿宋_GB2312" w:eastAsia="仿宋_GB2312" w:hint="eastAsia"/>
          <w:sz w:val="32"/>
          <w:szCs w:val="32"/>
        </w:rPr>
        <w:t>本办法自印发之日起30日后施行，有效期为5年。本办法施行后，法律法规规章和国家政策有新规定的，从其规定。</w:t>
      </w:r>
    </w:p>
    <w:p w:rsidR="00882F74" w:rsidRDefault="00882F74">
      <w:pPr>
        <w:ind w:firstLineChars="200" w:firstLine="640"/>
        <w:rPr>
          <w:rFonts w:ascii="仿宋_GB2312" w:eastAsia="仿宋_GB2312"/>
          <w:sz w:val="32"/>
          <w:szCs w:val="32"/>
        </w:rPr>
      </w:pP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附表：1.山东省动物防疫条件审查场所选址需求申报表</w:t>
      </w:r>
    </w:p>
    <w:p w:rsidR="00882F74" w:rsidRDefault="00FD6F08">
      <w:pPr>
        <w:ind w:firstLineChars="200" w:firstLine="640"/>
        <w:rPr>
          <w:rFonts w:ascii="仿宋_GB2312" w:eastAsia="仿宋_GB2312"/>
          <w:sz w:val="32"/>
          <w:szCs w:val="32"/>
        </w:rPr>
      </w:pPr>
      <w:r>
        <w:rPr>
          <w:rFonts w:ascii="仿宋_GB2312" w:eastAsia="仿宋_GB2312" w:hint="eastAsia"/>
          <w:sz w:val="32"/>
          <w:szCs w:val="32"/>
        </w:rPr>
        <w:t xml:space="preserve">      2.山东省动物防疫条件审查场所选址距离评估表</w:t>
      </w:r>
    </w:p>
    <w:p w:rsidR="00882F74" w:rsidRDefault="00882F74">
      <w:pPr>
        <w:ind w:firstLineChars="200" w:firstLine="640"/>
        <w:rPr>
          <w:rFonts w:ascii="仿宋_GB2312" w:eastAsia="仿宋_GB2312"/>
          <w:sz w:val="32"/>
          <w:szCs w:val="32"/>
        </w:rPr>
      </w:pPr>
    </w:p>
    <w:p w:rsidR="00882F74" w:rsidRDefault="00882F74">
      <w:pPr>
        <w:ind w:firstLineChars="200" w:firstLine="640"/>
        <w:rPr>
          <w:rFonts w:ascii="仿宋_GB2312" w:eastAsia="仿宋_GB2312"/>
          <w:sz w:val="32"/>
          <w:szCs w:val="32"/>
        </w:rPr>
        <w:sectPr w:rsidR="00882F74">
          <w:footerReference w:type="default" r:id="rId6"/>
          <w:pgSz w:w="11906" w:h="16838"/>
          <w:pgMar w:top="1440" w:right="1800" w:bottom="1440" w:left="1800" w:header="851" w:footer="992" w:gutter="0"/>
          <w:pgNumType w:fmt="numberInDash"/>
          <w:cols w:space="425"/>
          <w:docGrid w:type="lines" w:linePitch="312"/>
        </w:sectPr>
      </w:pPr>
    </w:p>
    <w:p w:rsidR="00882F74" w:rsidRDefault="00FD6F08">
      <w:pPr>
        <w:spacing w:line="590" w:lineRule="exact"/>
        <w:rPr>
          <w:rFonts w:ascii="黑体" w:eastAsia="黑体" w:hAnsi="黑体" w:cs="黑体"/>
          <w:sz w:val="32"/>
          <w:szCs w:val="32"/>
        </w:rPr>
      </w:pPr>
      <w:r>
        <w:rPr>
          <w:rFonts w:ascii="黑体" w:eastAsia="黑体" w:hAnsi="黑体" w:cs="黑体" w:hint="eastAsia"/>
          <w:sz w:val="32"/>
          <w:szCs w:val="32"/>
        </w:rPr>
        <w:lastRenderedPageBreak/>
        <w:t>附表1</w:t>
      </w:r>
    </w:p>
    <w:p w:rsidR="00882F74" w:rsidRDefault="00FD6F08">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山东省动物防疫条件审查场所</w:t>
      </w:r>
    </w:p>
    <w:p w:rsidR="00882F74" w:rsidRDefault="00FD6F08">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选址需求申报表</w:t>
      </w:r>
    </w:p>
    <w:p w:rsidR="00882F74" w:rsidRDefault="00882F74"/>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0"/>
        <w:gridCol w:w="3016"/>
        <w:gridCol w:w="1500"/>
        <w:gridCol w:w="1259"/>
        <w:gridCol w:w="1407"/>
      </w:tblGrid>
      <w:tr w:rsidR="00882F74">
        <w:trPr>
          <w:trHeight w:val="640"/>
          <w:jc w:val="center"/>
        </w:trPr>
        <w:tc>
          <w:tcPr>
            <w:tcW w:w="185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申报单位</w:t>
            </w:r>
          </w:p>
        </w:tc>
        <w:tc>
          <w:tcPr>
            <w:tcW w:w="3016" w:type="dxa"/>
            <w:vAlign w:val="center"/>
          </w:tcPr>
          <w:p w:rsidR="00882F74" w:rsidRDefault="00882F74">
            <w:pPr>
              <w:adjustRightInd w:val="0"/>
              <w:snapToGrid w:val="0"/>
              <w:jc w:val="center"/>
              <w:rPr>
                <w:rFonts w:ascii="仿宋_GB2312" w:eastAsia="仿宋_GB2312" w:hAnsi="仿宋_GB2312" w:cs="仿宋_GB2312"/>
                <w:sz w:val="24"/>
              </w:rPr>
            </w:pPr>
          </w:p>
        </w:tc>
        <w:tc>
          <w:tcPr>
            <w:tcW w:w="150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p>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（负责人）</w:t>
            </w:r>
          </w:p>
        </w:tc>
        <w:tc>
          <w:tcPr>
            <w:tcW w:w="2666" w:type="dxa"/>
            <w:gridSpan w:val="2"/>
            <w:vAlign w:val="center"/>
          </w:tcPr>
          <w:p w:rsidR="00882F74" w:rsidRDefault="00882F74">
            <w:pPr>
              <w:adjustRightInd w:val="0"/>
              <w:snapToGrid w:val="0"/>
              <w:jc w:val="center"/>
              <w:rPr>
                <w:rFonts w:ascii="仿宋_GB2312" w:eastAsia="仿宋_GB2312" w:hAnsi="仿宋_GB2312" w:cs="仿宋_GB2312"/>
                <w:sz w:val="24"/>
              </w:rPr>
            </w:pPr>
          </w:p>
        </w:tc>
      </w:tr>
      <w:tr w:rsidR="00882F74">
        <w:trPr>
          <w:trHeight w:val="485"/>
          <w:jc w:val="center"/>
        </w:trPr>
        <w:tc>
          <w:tcPr>
            <w:tcW w:w="185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3016" w:type="dxa"/>
            <w:vAlign w:val="center"/>
          </w:tcPr>
          <w:p w:rsidR="00882F74" w:rsidRDefault="00882F74">
            <w:pPr>
              <w:adjustRightInd w:val="0"/>
              <w:snapToGrid w:val="0"/>
              <w:jc w:val="center"/>
              <w:rPr>
                <w:rFonts w:ascii="仿宋_GB2312" w:eastAsia="仿宋_GB2312" w:hAnsi="仿宋_GB2312" w:cs="仿宋_GB2312"/>
                <w:sz w:val="24"/>
              </w:rPr>
            </w:pPr>
          </w:p>
        </w:tc>
        <w:tc>
          <w:tcPr>
            <w:tcW w:w="150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666" w:type="dxa"/>
            <w:gridSpan w:val="2"/>
            <w:vAlign w:val="center"/>
          </w:tcPr>
          <w:p w:rsidR="00882F74" w:rsidRDefault="00882F74">
            <w:pPr>
              <w:adjustRightInd w:val="0"/>
              <w:snapToGrid w:val="0"/>
              <w:jc w:val="center"/>
              <w:rPr>
                <w:rFonts w:ascii="仿宋_GB2312" w:eastAsia="仿宋_GB2312" w:hAnsi="仿宋_GB2312" w:cs="仿宋_GB2312"/>
                <w:sz w:val="24"/>
              </w:rPr>
            </w:pPr>
          </w:p>
        </w:tc>
      </w:tr>
      <w:tr w:rsidR="00882F74">
        <w:trPr>
          <w:trHeight w:val="485"/>
          <w:jc w:val="center"/>
        </w:trPr>
        <w:tc>
          <w:tcPr>
            <w:tcW w:w="185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传  真</w:t>
            </w:r>
          </w:p>
        </w:tc>
        <w:tc>
          <w:tcPr>
            <w:tcW w:w="3016" w:type="dxa"/>
            <w:vAlign w:val="center"/>
          </w:tcPr>
          <w:p w:rsidR="00882F74" w:rsidRDefault="00882F74">
            <w:pPr>
              <w:adjustRightInd w:val="0"/>
              <w:snapToGrid w:val="0"/>
              <w:jc w:val="center"/>
              <w:rPr>
                <w:rFonts w:ascii="仿宋_GB2312" w:eastAsia="仿宋_GB2312" w:hAnsi="仿宋_GB2312" w:cs="仿宋_GB2312"/>
                <w:sz w:val="24"/>
              </w:rPr>
            </w:pPr>
          </w:p>
        </w:tc>
        <w:tc>
          <w:tcPr>
            <w:tcW w:w="150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邮  箱</w:t>
            </w:r>
          </w:p>
        </w:tc>
        <w:tc>
          <w:tcPr>
            <w:tcW w:w="2666" w:type="dxa"/>
            <w:gridSpan w:val="2"/>
            <w:vAlign w:val="center"/>
          </w:tcPr>
          <w:p w:rsidR="00882F74" w:rsidRDefault="00882F74">
            <w:pPr>
              <w:adjustRightInd w:val="0"/>
              <w:snapToGrid w:val="0"/>
              <w:jc w:val="center"/>
              <w:rPr>
                <w:rFonts w:ascii="仿宋_GB2312" w:eastAsia="仿宋_GB2312" w:hAnsi="仿宋_GB2312" w:cs="仿宋_GB2312"/>
                <w:sz w:val="24"/>
              </w:rPr>
            </w:pPr>
          </w:p>
        </w:tc>
      </w:tr>
      <w:tr w:rsidR="00882F74">
        <w:trPr>
          <w:trHeight w:val="485"/>
          <w:jc w:val="center"/>
        </w:trPr>
        <w:tc>
          <w:tcPr>
            <w:tcW w:w="185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地  址</w:t>
            </w:r>
          </w:p>
        </w:tc>
        <w:tc>
          <w:tcPr>
            <w:tcW w:w="3016" w:type="dxa"/>
            <w:vAlign w:val="center"/>
          </w:tcPr>
          <w:p w:rsidR="00882F74" w:rsidRDefault="00882F74">
            <w:pPr>
              <w:adjustRightInd w:val="0"/>
              <w:snapToGrid w:val="0"/>
              <w:jc w:val="center"/>
              <w:rPr>
                <w:rFonts w:ascii="仿宋_GB2312" w:eastAsia="仿宋_GB2312" w:hAnsi="仿宋_GB2312" w:cs="仿宋_GB2312"/>
                <w:sz w:val="24"/>
              </w:rPr>
            </w:pPr>
          </w:p>
        </w:tc>
        <w:tc>
          <w:tcPr>
            <w:tcW w:w="150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经纬度</w:t>
            </w:r>
          </w:p>
        </w:tc>
        <w:tc>
          <w:tcPr>
            <w:tcW w:w="2666" w:type="dxa"/>
            <w:gridSpan w:val="2"/>
            <w:vAlign w:val="center"/>
          </w:tcPr>
          <w:p w:rsidR="00882F74" w:rsidRDefault="00882F74">
            <w:pPr>
              <w:adjustRightInd w:val="0"/>
              <w:snapToGrid w:val="0"/>
              <w:jc w:val="center"/>
              <w:rPr>
                <w:rFonts w:ascii="仿宋_GB2312" w:eastAsia="仿宋_GB2312" w:hAnsi="仿宋_GB2312" w:cs="仿宋_GB2312"/>
                <w:sz w:val="24"/>
              </w:rPr>
            </w:pPr>
          </w:p>
        </w:tc>
      </w:tr>
      <w:tr w:rsidR="00882F74">
        <w:trPr>
          <w:trHeight w:val="340"/>
          <w:jc w:val="center"/>
        </w:trPr>
        <w:tc>
          <w:tcPr>
            <w:tcW w:w="185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场所类别</w:t>
            </w:r>
          </w:p>
        </w:tc>
        <w:tc>
          <w:tcPr>
            <w:tcW w:w="7182" w:type="dxa"/>
            <w:gridSpan w:val="4"/>
            <w:vAlign w:val="center"/>
          </w:tcPr>
          <w:p w:rsidR="00882F74" w:rsidRDefault="00FD6F08">
            <w:pPr>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 xml:space="preserve">□ 动物饲养场            □ 动物隔离场所  </w:t>
            </w:r>
          </w:p>
          <w:p w:rsidR="00882F74" w:rsidRDefault="00FD6F08">
            <w:pPr>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 动物屠宰加工场所      □ 动物和动物产品无害化处理场所</w:t>
            </w:r>
          </w:p>
        </w:tc>
      </w:tr>
      <w:tr w:rsidR="00882F74">
        <w:trPr>
          <w:trHeight w:val="3568"/>
          <w:jc w:val="center"/>
        </w:trPr>
        <w:tc>
          <w:tcPr>
            <w:tcW w:w="1850" w:type="dxa"/>
            <w:vAlign w:val="center"/>
          </w:tcPr>
          <w:p w:rsidR="00882F74" w:rsidRDefault="00FD6F08">
            <w:pPr>
              <w:adjustRightInd w:val="0"/>
              <w:snapToGrid w:val="0"/>
              <w:jc w:val="center"/>
              <w:rPr>
                <w:rFonts w:ascii="黑体" w:eastAsia="黑体" w:hAnsi="黑体" w:cs="黑体"/>
                <w:color w:val="000000"/>
                <w:sz w:val="24"/>
              </w:rPr>
            </w:pPr>
            <w:r>
              <w:rPr>
                <w:rFonts w:ascii="仿宋_GB2312" w:eastAsia="仿宋_GB2312" w:hAnsi="仿宋_GB2312" w:cs="仿宋_GB2312" w:hint="eastAsia"/>
                <w:sz w:val="24"/>
              </w:rPr>
              <w:t>提供材料清单</w:t>
            </w:r>
          </w:p>
        </w:tc>
        <w:tc>
          <w:tcPr>
            <w:tcW w:w="7182" w:type="dxa"/>
            <w:gridSpan w:val="4"/>
            <w:vAlign w:val="center"/>
          </w:tcPr>
          <w:p w:rsidR="00882F74" w:rsidRDefault="00FD6F08">
            <w:pPr>
              <w:adjustRightInd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□1.场所所在乡镇（街道）地图（标注场所具体地址及经纬度）；</w:t>
            </w:r>
          </w:p>
          <w:p w:rsidR="00882F74" w:rsidRDefault="00FD6F08">
            <w:pPr>
              <w:adjustRightInd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2.场所地址及周边地图（标明周边半径三公里范围内动物饲养场、动物隔离场所、动物屠宰加工场所、动物诊疗场所、动物和动物产品集贸市场及动物和动物产品无害化处理场所，居民生活区、生活饮用水源地、学校、医院等公共场所分布及距离，畜禽分布及数量，与周边场所自然屏障、人工屏障、道路情况）；</w:t>
            </w:r>
          </w:p>
          <w:p w:rsidR="00882F74" w:rsidRDefault="00FD6F08">
            <w:pPr>
              <w:adjustRightInd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□3.场所建设方案（包括场区平面布局、各功能区划分、人工屏障建筑方式、设计生产规模、养殖或屠宰畜禽种类、饲养模式等情况）；</w:t>
            </w:r>
          </w:p>
          <w:p w:rsidR="00882F74" w:rsidRDefault="00FD6F08">
            <w:pPr>
              <w:adjustRightInd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□4.动物防疫措施简况（包括清洗消毒设施设备、无害化处理方式、污水污物处理设施设备、生物安全管理制度等情况）；</w:t>
            </w:r>
          </w:p>
          <w:p w:rsidR="00882F74" w:rsidRDefault="00FD6F08">
            <w:pPr>
              <w:adjustRightInd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□5.申请人的身份证明或法人资格证明复印件。</w:t>
            </w:r>
          </w:p>
        </w:tc>
      </w:tr>
      <w:tr w:rsidR="00882F74">
        <w:trPr>
          <w:trHeight w:val="464"/>
          <w:jc w:val="center"/>
        </w:trPr>
        <w:tc>
          <w:tcPr>
            <w:tcW w:w="1850" w:type="dxa"/>
            <w:vMerge w:val="restart"/>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距离项目</w:t>
            </w:r>
          </w:p>
        </w:tc>
        <w:tc>
          <w:tcPr>
            <w:tcW w:w="5775" w:type="dxa"/>
            <w:gridSpan w:val="3"/>
            <w:tcBorders>
              <w:bottom w:val="single" w:sz="4" w:space="0" w:color="auto"/>
            </w:tcBorders>
            <w:vAlign w:val="center"/>
          </w:tcPr>
          <w:p w:rsidR="00882F74" w:rsidRDefault="00FD6F08">
            <w:pPr>
              <w:adjustRightInd w:val="0"/>
              <w:snapToGrid w:val="0"/>
              <w:jc w:val="center"/>
              <w:rPr>
                <w:rFonts w:ascii="黑体" w:eastAsia="黑体" w:hAnsi="黑体" w:cs="仿宋_GB2312"/>
                <w:sz w:val="24"/>
              </w:rPr>
            </w:pPr>
            <w:r>
              <w:rPr>
                <w:rFonts w:ascii="黑体" w:eastAsia="黑体" w:hAnsi="黑体" w:cs="仿宋_GB2312" w:hint="eastAsia"/>
                <w:sz w:val="24"/>
              </w:rPr>
              <w:t>距离周边场所情况</w:t>
            </w:r>
          </w:p>
        </w:tc>
        <w:tc>
          <w:tcPr>
            <w:tcW w:w="1407" w:type="dxa"/>
            <w:tcBorders>
              <w:bottom w:val="single" w:sz="4" w:space="0" w:color="auto"/>
            </w:tcBorders>
            <w:vAlign w:val="center"/>
          </w:tcPr>
          <w:p w:rsidR="00882F74" w:rsidRDefault="00FD6F08">
            <w:pPr>
              <w:adjustRightInd w:val="0"/>
              <w:snapToGrid w:val="0"/>
              <w:jc w:val="center"/>
              <w:rPr>
                <w:rFonts w:ascii="黑体" w:eastAsia="黑体" w:hAnsi="黑体" w:cs="仿宋_GB2312"/>
                <w:sz w:val="24"/>
              </w:rPr>
            </w:pPr>
            <w:r>
              <w:rPr>
                <w:rFonts w:ascii="黑体" w:eastAsia="黑体" w:hAnsi="黑体" w:cs="仿宋_GB2312" w:hint="eastAsia"/>
                <w:sz w:val="24"/>
              </w:rPr>
              <w:t>实际距离（米）</w:t>
            </w:r>
          </w:p>
        </w:tc>
      </w:tr>
      <w:tr w:rsidR="00882F74">
        <w:trPr>
          <w:trHeight w:val="464"/>
          <w:jc w:val="center"/>
        </w:trPr>
        <w:tc>
          <w:tcPr>
            <w:tcW w:w="1850" w:type="dxa"/>
            <w:vMerge/>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c>
          <w:tcPr>
            <w:tcW w:w="5775" w:type="dxa"/>
            <w:gridSpan w:val="3"/>
            <w:tcBorders>
              <w:bottom w:val="single" w:sz="4" w:space="0" w:color="auto"/>
            </w:tcBorders>
            <w:vAlign w:val="center"/>
          </w:tcPr>
          <w:p w:rsidR="00882F74" w:rsidRDefault="00FD6F08">
            <w:pPr>
              <w:adjustRightInd w:val="0"/>
              <w:snapToGrid w:val="0"/>
              <w:ind w:leftChars="-10" w:left="-2" w:hangingChars="8" w:hanging="19"/>
              <w:jc w:val="left"/>
              <w:rPr>
                <w:rFonts w:ascii="仿宋_GB2312" w:eastAsia="仿宋_GB2312" w:hAnsi="仿宋_GB2312" w:cs="仿宋_GB2312"/>
                <w:sz w:val="24"/>
              </w:rPr>
            </w:pPr>
            <w:r>
              <w:rPr>
                <w:rFonts w:ascii="仿宋_GB2312" w:eastAsia="仿宋_GB2312" w:hAnsi="仿宋_GB2312" w:cs="仿宋_GB2312" w:hint="eastAsia"/>
                <w:sz w:val="24"/>
              </w:rPr>
              <w:t>距离生活水源地</w:t>
            </w:r>
          </w:p>
        </w:tc>
        <w:tc>
          <w:tcPr>
            <w:tcW w:w="1407" w:type="dxa"/>
            <w:tcBorders>
              <w:bottom w:val="single" w:sz="4" w:space="0" w:color="auto"/>
            </w:tcBorders>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r>
      <w:tr w:rsidR="00882F74">
        <w:trPr>
          <w:trHeight w:val="464"/>
          <w:jc w:val="center"/>
        </w:trPr>
        <w:tc>
          <w:tcPr>
            <w:tcW w:w="1850" w:type="dxa"/>
            <w:vMerge/>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c>
          <w:tcPr>
            <w:tcW w:w="5775" w:type="dxa"/>
            <w:gridSpan w:val="3"/>
            <w:tcBorders>
              <w:bottom w:val="single" w:sz="4" w:space="0" w:color="auto"/>
            </w:tcBorders>
            <w:vAlign w:val="center"/>
          </w:tcPr>
          <w:p w:rsidR="00882F74" w:rsidRDefault="00FD6F08">
            <w:pPr>
              <w:adjustRightInd w:val="0"/>
              <w:snapToGrid w:val="0"/>
              <w:ind w:leftChars="-10" w:left="-2" w:hangingChars="8" w:hanging="19"/>
              <w:jc w:val="left"/>
              <w:rPr>
                <w:rFonts w:ascii="仿宋_GB2312" w:eastAsia="仿宋_GB2312" w:hAnsi="仿宋_GB2312" w:cs="仿宋_GB2312"/>
                <w:sz w:val="24"/>
              </w:rPr>
            </w:pPr>
            <w:r>
              <w:rPr>
                <w:rFonts w:ascii="仿宋_GB2312" w:eastAsia="仿宋_GB2312" w:hAnsi="仿宋_GB2312" w:cs="仿宋_GB2312" w:hint="eastAsia"/>
                <w:sz w:val="24"/>
              </w:rPr>
              <w:t>距离城镇居民区、学校、医院等公共场所</w:t>
            </w:r>
          </w:p>
        </w:tc>
        <w:tc>
          <w:tcPr>
            <w:tcW w:w="1407" w:type="dxa"/>
            <w:tcBorders>
              <w:bottom w:val="single" w:sz="4" w:space="0" w:color="auto"/>
            </w:tcBorders>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r>
      <w:tr w:rsidR="00882F74">
        <w:trPr>
          <w:trHeight w:val="464"/>
          <w:jc w:val="center"/>
        </w:trPr>
        <w:tc>
          <w:tcPr>
            <w:tcW w:w="1850" w:type="dxa"/>
            <w:vMerge/>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c>
          <w:tcPr>
            <w:tcW w:w="5775" w:type="dxa"/>
            <w:gridSpan w:val="3"/>
            <w:tcBorders>
              <w:bottom w:val="single" w:sz="4" w:space="0" w:color="auto"/>
            </w:tcBorders>
            <w:vAlign w:val="center"/>
          </w:tcPr>
          <w:p w:rsidR="00882F74" w:rsidRDefault="00FD6F08">
            <w:pPr>
              <w:adjustRightInd w:val="0"/>
              <w:snapToGrid w:val="0"/>
              <w:ind w:leftChars="-10" w:left="-2" w:hangingChars="8" w:hanging="19"/>
              <w:jc w:val="left"/>
              <w:rPr>
                <w:rFonts w:ascii="仿宋_GB2312" w:eastAsia="仿宋_GB2312" w:hAnsi="仿宋_GB2312" w:cs="仿宋_GB2312"/>
                <w:sz w:val="24"/>
              </w:rPr>
            </w:pPr>
            <w:r>
              <w:rPr>
                <w:rFonts w:ascii="仿宋_GB2312" w:eastAsia="仿宋_GB2312" w:hAnsi="仿宋_GB2312" w:cs="仿宋_GB2312" w:hint="eastAsia"/>
                <w:sz w:val="24"/>
              </w:rPr>
              <w:t>距离公路、铁路等主要交通干线</w:t>
            </w:r>
          </w:p>
        </w:tc>
        <w:tc>
          <w:tcPr>
            <w:tcW w:w="1407" w:type="dxa"/>
            <w:tcBorders>
              <w:bottom w:val="single" w:sz="4" w:space="0" w:color="auto"/>
            </w:tcBorders>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r>
      <w:tr w:rsidR="00882F74">
        <w:trPr>
          <w:trHeight w:val="464"/>
          <w:jc w:val="center"/>
        </w:trPr>
        <w:tc>
          <w:tcPr>
            <w:tcW w:w="1850" w:type="dxa"/>
            <w:vMerge/>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c>
          <w:tcPr>
            <w:tcW w:w="5775" w:type="dxa"/>
            <w:gridSpan w:val="3"/>
            <w:tcBorders>
              <w:bottom w:val="single" w:sz="4" w:space="0" w:color="auto"/>
            </w:tcBorders>
            <w:vAlign w:val="center"/>
          </w:tcPr>
          <w:p w:rsidR="00882F74" w:rsidRDefault="00FD6F08">
            <w:pPr>
              <w:adjustRightInd w:val="0"/>
              <w:snapToGrid w:val="0"/>
              <w:ind w:leftChars="-10" w:left="-2" w:hangingChars="8" w:hanging="19"/>
              <w:jc w:val="left"/>
              <w:rPr>
                <w:rFonts w:ascii="仿宋_GB2312" w:eastAsia="仿宋_GB2312" w:hAnsi="仿宋_GB2312" w:cs="仿宋_GB2312"/>
                <w:sz w:val="24"/>
              </w:rPr>
            </w:pPr>
            <w:r>
              <w:rPr>
                <w:rFonts w:ascii="仿宋_GB2312" w:eastAsia="仿宋_GB2312" w:hAnsi="仿宋_GB2312" w:cs="仿宋_GB2312" w:hint="eastAsia"/>
                <w:sz w:val="24"/>
              </w:rPr>
              <w:t>距离种畜禽场</w:t>
            </w:r>
          </w:p>
        </w:tc>
        <w:tc>
          <w:tcPr>
            <w:tcW w:w="1407" w:type="dxa"/>
            <w:tcBorders>
              <w:bottom w:val="single" w:sz="4" w:space="0" w:color="auto"/>
            </w:tcBorders>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r>
      <w:tr w:rsidR="00882F74">
        <w:trPr>
          <w:trHeight w:val="464"/>
          <w:jc w:val="center"/>
        </w:trPr>
        <w:tc>
          <w:tcPr>
            <w:tcW w:w="1850" w:type="dxa"/>
            <w:vMerge/>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c>
          <w:tcPr>
            <w:tcW w:w="5775" w:type="dxa"/>
            <w:gridSpan w:val="3"/>
            <w:tcBorders>
              <w:bottom w:val="single" w:sz="4" w:space="0" w:color="auto"/>
            </w:tcBorders>
            <w:vAlign w:val="center"/>
          </w:tcPr>
          <w:p w:rsidR="00882F74" w:rsidRDefault="00FD6F08">
            <w:pPr>
              <w:adjustRightInd w:val="0"/>
              <w:snapToGrid w:val="0"/>
              <w:ind w:leftChars="-10" w:left="-2" w:hangingChars="8" w:hanging="19"/>
              <w:jc w:val="left"/>
              <w:rPr>
                <w:rFonts w:ascii="仿宋_GB2312" w:eastAsia="仿宋_GB2312" w:hAnsi="仿宋_GB2312" w:cs="仿宋_GB2312"/>
                <w:sz w:val="24"/>
              </w:rPr>
            </w:pPr>
            <w:r>
              <w:rPr>
                <w:rFonts w:ascii="仿宋_GB2312" w:eastAsia="仿宋_GB2312" w:hAnsi="仿宋_GB2312" w:cs="仿宋_GB2312" w:hint="eastAsia"/>
                <w:sz w:val="24"/>
              </w:rPr>
              <w:t>距离动物饲养场</w:t>
            </w:r>
          </w:p>
        </w:tc>
        <w:tc>
          <w:tcPr>
            <w:tcW w:w="1407" w:type="dxa"/>
            <w:tcBorders>
              <w:bottom w:val="single" w:sz="4" w:space="0" w:color="auto"/>
            </w:tcBorders>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r>
      <w:tr w:rsidR="00882F74">
        <w:trPr>
          <w:trHeight w:val="464"/>
          <w:jc w:val="center"/>
        </w:trPr>
        <w:tc>
          <w:tcPr>
            <w:tcW w:w="1850" w:type="dxa"/>
            <w:vMerge/>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c>
          <w:tcPr>
            <w:tcW w:w="5775" w:type="dxa"/>
            <w:gridSpan w:val="3"/>
            <w:tcBorders>
              <w:bottom w:val="single" w:sz="4" w:space="0" w:color="auto"/>
            </w:tcBorders>
            <w:vAlign w:val="center"/>
          </w:tcPr>
          <w:p w:rsidR="00882F74" w:rsidRDefault="00FD6F08">
            <w:pPr>
              <w:adjustRightInd w:val="0"/>
              <w:snapToGrid w:val="0"/>
              <w:ind w:leftChars="-10" w:left="-2" w:hangingChars="8" w:hanging="19"/>
              <w:jc w:val="left"/>
              <w:rPr>
                <w:rFonts w:ascii="仿宋_GB2312" w:eastAsia="仿宋_GB2312" w:hAnsi="仿宋_GB2312" w:cs="仿宋_GB2312"/>
                <w:sz w:val="24"/>
              </w:rPr>
            </w:pPr>
            <w:r>
              <w:rPr>
                <w:rFonts w:ascii="仿宋_GB2312" w:eastAsia="仿宋_GB2312" w:hAnsi="仿宋_GB2312" w:cs="仿宋_GB2312" w:hint="eastAsia"/>
                <w:sz w:val="24"/>
              </w:rPr>
              <w:t>距离动物诊疗场所</w:t>
            </w:r>
          </w:p>
        </w:tc>
        <w:tc>
          <w:tcPr>
            <w:tcW w:w="1407" w:type="dxa"/>
            <w:tcBorders>
              <w:bottom w:val="single" w:sz="4" w:space="0" w:color="auto"/>
            </w:tcBorders>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r>
      <w:tr w:rsidR="00882F74">
        <w:trPr>
          <w:trHeight w:val="464"/>
          <w:jc w:val="center"/>
        </w:trPr>
        <w:tc>
          <w:tcPr>
            <w:tcW w:w="1850" w:type="dxa"/>
            <w:vMerge/>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c>
          <w:tcPr>
            <w:tcW w:w="5775" w:type="dxa"/>
            <w:gridSpan w:val="3"/>
            <w:tcBorders>
              <w:bottom w:val="single" w:sz="4" w:space="0" w:color="auto"/>
            </w:tcBorders>
            <w:vAlign w:val="center"/>
          </w:tcPr>
          <w:p w:rsidR="00882F74" w:rsidRDefault="00FD6F08">
            <w:pPr>
              <w:adjustRightInd w:val="0"/>
              <w:snapToGrid w:val="0"/>
              <w:ind w:leftChars="-10" w:left="-2" w:hangingChars="8" w:hanging="19"/>
              <w:jc w:val="left"/>
              <w:rPr>
                <w:rFonts w:ascii="仿宋_GB2312" w:eastAsia="仿宋_GB2312" w:hAnsi="仿宋_GB2312" w:cs="仿宋_GB2312"/>
                <w:sz w:val="24"/>
              </w:rPr>
            </w:pPr>
            <w:r>
              <w:rPr>
                <w:rFonts w:ascii="仿宋_GB2312" w:eastAsia="仿宋_GB2312" w:hAnsi="仿宋_GB2312" w:cs="仿宋_GB2312" w:hint="eastAsia"/>
                <w:sz w:val="24"/>
              </w:rPr>
              <w:t>距离动物屠宰加工场所、动物和动物产品集贸市场</w:t>
            </w:r>
          </w:p>
        </w:tc>
        <w:tc>
          <w:tcPr>
            <w:tcW w:w="1407" w:type="dxa"/>
            <w:tcBorders>
              <w:bottom w:val="single" w:sz="4" w:space="0" w:color="auto"/>
            </w:tcBorders>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r>
      <w:tr w:rsidR="00882F74">
        <w:trPr>
          <w:trHeight w:val="464"/>
          <w:jc w:val="center"/>
        </w:trPr>
        <w:tc>
          <w:tcPr>
            <w:tcW w:w="1850" w:type="dxa"/>
            <w:vMerge/>
            <w:tcBorders>
              <w:bottom w:val="single" w:sz="4" w:space="0" w:color="auto"/>
            </w:tcBorders>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c>
          <w:tcPr>
            <w:tcW w:w="5775" w:type="dxa"/>
            <w:gridSpan w:val="3"/>
            <w:tcBorders>
              <w:bottom w:val="single" w:sz="4" w:space="0" w:color="auto"/>
            </w:tcBorders>
            <w:vAlign w:val="center"/>
          </w:tcPr>
          <w:p w:rsidR="00882F74" w:rsidRDefault="00FD6F08">
            <w:pPr>
              <w:adjustRightInd w:val="0"/>
              <w:snapToGrid w:val="0"/>
              <w:ind w:leftChars="-10" w:left="-2" w:hangingChars="8" w:hanging="19"/>
              <w:jc w:val="left"/>
              <w:rPr>
                <w:rFonts w:ascii="仿宋_GB2312" w:eastAsia="仿宋_GB2312" w:hAnsi="仿宋_GB2312" w:cs="仿宋_GB2312"/>
                <w:sz w:val="24"/>
              </w:rPr>
            </w:pPr>
            <w:r>
              <w:rPr>
                <w:rFonts w:ascii="仿宋_GB2312" w:eastAsia="仿宋_GB2312" w:hAnsi="仿宋_GB2312" w:cs="仿宋_GB2312" w:hint="eastAsia"/>
                <w:sz w:val="24"/>
              </w:rPr>
              <w:t>距离动物隔离场所、动物和动物产品无害化处理场所</w:t>
            </w:r>
          </w:p>
        </w:tc>
        <w:tc>
          <w:tcPr>
            <w:tcW w:w="1407" w:type="dxa"/>
            <w:tcBorders>
              <w:bottom w:val="single" w:sz="4" w:space="0" w:color="auto"/>
            </w:tcBorders>
            <w:vAlign w:val="center"/>
          </w:tcPr>
          <w:p w:rsidR="00882F74" w:rsidRDefault="00882F74">
            <w:pPr>
              <w:adjustRightInd w:val="0"/>
              <w:snapToGrid w:val="0"/>
              <w:ind w:firstLineChars="200" w:firstLine="480"/>
              <w:jc w:val="left"/>
              <w:rPr>
                <w:rFonts w:ascii="仿宋_GB2312" w:eastAsia="仿宋_GB2312" w:hAnsi="仿宋_GB2312" w:cs="仿宋_GB2312"/>
                <w:sz w:val="24"/>
              </w:rPr>
            </w:pPr>
          </w:p>
        </w:tc>
      </w:tr>
      <w:tr w:rsidR="00882F74">
        <w:trPr>
          <w:trHeight w:val="3670"/>
          <w:jc w:val="center"/>
        </w:trPr>
        <w:tc>
          <w:tcPr>
            <w:tcW w:w="9032" w:type="dxa"/>
            <w:gridSpan w:val="5"/>
            <w:vAlign w:val="center"/>
          </w:tcPr>
          <w:p w:rsidR="00882F74" w:rsidRDefault="00FD6F08">
            <w:pPr>
              <w:adjustRightInd w:val="0"/>
              <w:snapToGrid w:val="0"/>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本单位自愿申请所建场所选址距离评估，并对申请材料的真实性和准确性负责。</w:t>
            </w:r>
          </w:p>
          <w:p w:rsidR="00882F74" w:rsidRDefault="00882F74">
            <w:pPr>
              <w:adjustRightInd w:val="0"/>
              <w:snapToGrid w:val="0"/>
              <w:jc w:val="left"/>
              <w:rPr>
                <w:rFonts w:ascii="仿宋_GB2312" w:eastAsia="仿宋_GB2312" w:hAnsi="仿宋_GB2312" w:cs="仿宋_GB2312"/>
                <w:sz w:val="24"/>
              </w:rPr>
            </w:pPr>
          </w:p>
          <w:p w:rsidR="00882F74" w:rsidRDefault="00882F74">
            <w:pPr>
              <w:adjustRightInd w:val="0"/>
              <w:snapToGrid w:val="0"/>
              <w:jc w:val="left"/>
              <w:rPr>
                <w:rFonts w:ascii="仿宋_GB2312" w:eastAsia="仿宋_GB2312" w:hAnsi="仿宋_GB2312" w:cs="仿宋_GB2312"/>
                <w:sz w:val="24"/>
              </w:rPr>
            </w:pPr>
          </w:p>
          <w:p w:rsidR="00882F74" w:rsidRDefault="00882F74">
            <w:pPr>
              <w:adjustRightInd w:val="0"/>
              <w:snapToGrid w:val="0"/>
              <w:jc w:val="left"/>
              <w:rPr>
                <w:rFonts w:ascii="仿宋_GB2312" w:eastAsia="仿宋_GB2312" w:hAnsi="仿宋_GB2312" w:cs="仿宋_GB2312"/>
                <w:sz w:val="24"/>
              </w:rPr>
            </w:pPr>
          </w:p>
          <w:p w:rsidR="00882F74" w:rsidRDefault="00882F74">
            <w:pPr>
              <w:adjustRightInd w:val="0"/>
              <w:snapToGrid w:val="0"/>
              <w:jc w:val="left"/>
              <w:rPr>
                <w:rFonts w:ascii="仿宋_GB2312" w:eastAsia="仿宋_GB2312" w:hAnsi="仿宋_GB2312" w:cs="仿宋_GB2312"/>
                <w:sz w:val="24"/>
              </w:rPr>
            </w:pPr>
          </w:p>
          <w:p w:rsidR="00882F74" w:rsidRDefault="00FD6F08">
            <w:pPr>
              <w:adjustRightInd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 xml:space="preserve"> 负责人（签名）：                               申请单位（盖章）</w:t>
            </w:r>
          </w:p>
          <w:p w:rsidR="00882F74" w:rsidRDefault="00FD6F08">
            <w:pPr>
              <w:adjustRightInd w:val="0"/>
              <w:snapToGrid w:val="0"/>
              <w:ind w:firstLineChars="2400" w:firstLine="5760"/>
              <w:jc w:val="left"/>
              <w:rPr>
                <w:rFonts w:ascii="仿宋_GB2312" w:eastAsia="仿宋_GB2312" w:hAnsi="仿宋_GB2312" w:cs="仿宋_GB2312"/>
                <w:sz w:val="24"/>
              </w:rPr>
            </w:pPr>
            <w:r>
              <w:rPr>
                <w:rFonts w:ascii="仿宋_GB2312" w:eastAsia="仿宋_GB2312" w:hAnsi="仿宋_GB2312" w:cs="仿宋_GB2312" w:hint="eastAsia"/>
                <w:kern w:val="0"/>
                <w:sz w:val="24"/>
              </w:rPr>
              <w:t xml:space="preserve">       年    月    日</w:t>
            </w:r>
          </w:p>
        </w:tc>
      </w:tr>
      <w:tr w:rsidR="00882F74">
        <w:trPr>
          <w:trHeight w:val="3111"/>
          <w:jc w:val="center"/>
        </w:trPr>
        <w:tc>
          <w:tcPr>
            <w:tcW w:w="185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初核意见</w:t>
            </w:r>
          </w:p>
        </w:tc>
        <w:tc>
          <w:tcPr>
            <w:tcW w:w="7182" w:type="dxa"/>
            <w:gridSpan w:val="4"/>
            <w:vAlign w:val="center"/>
          </w:tcPr>
          <w:p w:rsidR="00882F74" w:rsidRDefault="00FD6F08">
            <w:pPr>
              <w:adjustRightInd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（满足最大距离设定条件，无需评估。</w:t>
            </w:r>
          </w:p>
          <w:p w:rsidR="00882F74" w:rsidRDefault="00FD6F08">
            <w:pPr>
              <w:adjustRightInd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或：未满足最大距离设定要件，需组织专家评估。）</w:t>
            </w:r>
          </w:p>
          <w:p w:rsidR="00882F74" w:rsidRDefault="00882F74">
            <w:pPr>
              <w:adjustRightInd w:val="0"/>
              <w:snapToGrid w:val="0"/>
              <w:jc w:val="left"/>
              <w:rPr>
                <w:rFonts w:ascii="仿宋_GB2312" w:eastAsia="仿宋_GB2312" w:hAnsi="仿宋_GB2312" w:cs="仿宋_GB2312"/>
                <w:sz w:val="24"/>
              </w:rPr>
            </w:pPr>
          </w:p>
          <w:p w:rsidR="00882F74" w:rsidRDefault="00882F74">
            <w:pPr>
              <w:adjustRightInd w:val="0"/>
              <w:snapToGrid w:val="0"/>
              <w:jc w:val="left"/>
              <w:rPr>
                <w:rFonts w:ascii="仿宋_GB2312" w:eastAsia="仿宋_GB2312" w:hAnsi="仿宋_GB2312" w:cs="仿宋_GB2312"/>
                <w:sz w:val="24"/>
              </w:rPr>
            </w:pPr>
          </w:p>
          <w:p w:rsidR="00882F74" w:rsidRDefault="00882F74">
            <w:pPr>
              <w:adjustRightInd w:val="0"/>
              <w:snapToGrid w:val="0"/>
              <w:jc w:val="left"/>
              <w:rPr>
                <w:rFonts w:ascii="仿宋_GB2312" w:eastAsia="仿宋_GB2312" w:hAnsi="仿宋_GB2312" w:cs="仿宋_GB2312"/>
                <w:sz w:val="24"/>
              </w:rPr>
            </w:pPr>
          </w:p>
          <w:p w:rsidR="00882F74" w:rsidRDefault="00882F74">
            <w:pPr>
              <w:adjustRightInd w:val="0"/>
              <w:snapToGrid w:val="0"/>
              <w:jc w:val="left"/>
              <w:rPr>
                <w:rFonts w:ascii="仿宋_GB2312" w:eastAsia="仿宋_GB2312" w:hAnsi="仿宋_GB2312" w:cs="仿宋_GB2312"/>
                <w:sz w:val="24"/>
              </w:rPr>
            </w:pPr>
          </w:p>
          <w:p w:rsidR="00882F74" w:rsidRDefault="00FD6F08">
            <w:pPr>
              <w:adjustRightInd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 xml:space="preserve">审核人员（签名）：                 </w:t>
            </w:r>
            <w:r>
              <w:rPr>
                <w:rFonts w:ascii="仿宋_GB2312" w:eastAsia="仿宋_GB2312" w:hAnsi="仿宋_GB2312" w:cs="仿宋_GB2312" w:hint="eastAsia"/>
                <w:kern w:val="0"/>
                <w:sz w:val="24"/>
              </w:rPr>
              <w:t xml:space="preserve">    年    月    日</w:t>
            </w:r>
          </w:p>
        </w:tc>
      </w:tr>
      <w:tr w:rsidR="00882F74">
        <w:trPr>
          <w:trHeight w:val="3397"/>
          <w:jc w:val="center"/>
        </w:trPr>
        <w:tc>
          <w:tcPr>
            <w:tcW w:w="1850" w:type="dxa"/>
            <w:vAlign w:val="center"/>
          </w:tcPr>
          <w:p w:rsidR="00882F74" w:rsidRDefault="00FD6F08">
            <w:pPr>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专家评估意见</w:t>
            </w:r>
          </w:p>
        </w:tc>
        <w:tc>
          <w:tcPr>
            <w:tcW w:w="7182" w:type="dxa"/>
            <w:gridSpan w:val="4"/>
            <w:vAlign w:val="center"/>
          </w:tcPr>
          <w:p w:rsidR="00882F74" w:rsidRDefault="00FD6F08">
            <w:pPr>
              <w:pStyle w:val="a3"/>
              <w:snapToGrid w:val="0"/>
              <w:spacing w:line="240" w:lineRule="auto"/>
            </w:pPr>
            <w:r>
              <w:rPr>
                <w:rFonts w:hint="eastAsia"/>
              </w:rPr>
              <w:t>（通过选址距离评估</w:t>
            </w:r>
          </w:p>
          <w:p w:rsidR="00882F74" w:rsidRDefault="00FD6F08">
            <w:pPr>
              <w:pStyle w:val="a3"/>
              <w:snapToGrid w:val="0"/>
              <w:spacing w:line="240" w:lineRule="auto"/>
            </w:pPr>
            <w:r>
              <w:rPr>
                <w:rFonts w:hint="eastAsia"/>
              </w:rPr>
              <w:t>或：未通过选址距离评估）</w:t>
            </w:r>
          </w:p>
          <w:p w:rsidR="00882F74" w:rsidRDefault="00882F74">
            <w:pPr>
              <w:pStyle w:val="a3"/>
              <w:snapToGrid w:val="0"/>
              <w:spacing w:line="240" w:lineRule="auto"/>
            </w:pPr>
          </w:p>
          <w:p w:rsidR="00882F74" w:rsidRDefault="00882F74">
            <w:pPr>
              <w:pStyle w:val="a3"/>
              <w:snapToGrid w:val="0"/>
              <w:spacing w:line="240" w:lineRule="auto"/>
            </w:pPr>
          </w:p>
          <w:p w:rsidR="00882F74" w:rsidRDefault="00882F74">
            <w:pPr>
              <w:pStyle w:val="a3"/>
              <w:snapToGrid w:val="0"/>
              <w:spacing w:line="240" w:lineRule="auto"/>
            </w:pPr>
          </w:p>
          <w:p w:rsidR="00882F74" w:rsidRDefault="00882F74">
            <w:pPr>
              <w:pStyle w:val="a3"/>
              <w:snapToGrid w:val="0"/>
              <w:spacing w:line="240" w:lineRule="auto"/>
            </w:pPr>
          </w:p>
          <w:p w:rsidR="00882F74" w:rsidRDefault="00FD6F08">
            <w:pPr>
              <w:pStyle w:val="a3"/>
              <w:snapToGrid w:val="0"/>
              <w:spacing w:line="240" w:lineRule="auto"/>
            </w:pPr>
            <w:r>
              <w:rPr>
                <w:rFonts w:hint="eastAsia"/>
              </w:rPr>
              <w:t>专家组组长（签名）：</w:t>
            </w:r>
          </w:p>
          <w:p w:rsidR="00882F74" w:rsidRDefault="00FD6F08">
            <w:pPr>
              <w:pStyle w:val="a3"/>
              <w:snapToGrid w:val="0"/>
              <w:spacing w:line="240" w:lineRule="auto"/>
            </w:pPr>
            <w:r>
              <w:rPr>
                <w:rFonts w:hint="eastAsia"/>
              </w:rPr>
              <w:t>成员（签名）：</w:t>
            </w:r>
          </w:p>
          <w:p w:rsidR="00882F74" w:rsidRDefault="00FD6F08">
            <w:pPr>
              <w:pStyle w:val="a3"/>
              <w:snapToGrid w:val="0"/>
              <w:spacing w:line="240" w:lineRule="auto"/>
            </w:pPr>
            <w:r>
              <w:rPr>
                <w:rFonts w:hint="eastAsia"/>
              </w:rPr>
              <w:t xml:space="preserve">                     </w:t>
            </w:r>
            <w:r>
              <w:rPr>
                <w:rFonts w:ascii="仿宋_GB2312" w:hAnsi="仿宋_GB2312" w:cs="仿宋_GB2312" w:hint="eastAsia"/>
              </w:rPr>
              <w:t xml:space="preserve">             年    月    日</w:t>
            </w:r>
          </w:p>
        </w:tc>
      </w:tr>
      <w:tr w:rsidR="00882F74">
        <w:trPr>
          <w:trHeight w:val="3248"/>
          <w:jc w:val="center"/>
        </w:trPr>
        <w:tc>
          <w:tcPr>
            <w:tcW w:w="1850" w:type="dxa"/>
            <w:vAlign w:val="center"/>
          </w:tcPr>
          <w:p w:rsidR="00882F74" w:rsidRDefault="00FD6F08">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kern w:val="0"/>
                <w:sz w:val="24"/>
              </w:rPr>
              <w:t>县级人民政府农业农村主管部门意见</w:t>
            </w:r>
          </w:p>
        </w:tc>
        <w:tc>
          <w:tcPr>
            <w:tcW w:w="7182" w:type="dxa"/>
            <w:gridSpan w:val="4"/>
            <w:vAlign w:val="center"/>
          </w:tcPr>
          <w:p w:rsidR="00882F74" w:rsidRDefault="00FD6F08">
            <w:pPr>
              <w:pStyle w:val="a3"/>
              <w:snapToGrid w:val="0"/>
              <w:spacing w:line="240" w:lineRule="auto"/>
            </w:pPr>
            <w:r>
              <w:rPr>
                <w:rFonts w:hint="eastAsia"/>
              </w:rPr>
              <w:t>（确认选址</w:t>
            </w:r>
          </w:p>
          <w:p w:rsidR="00882F74" w:rsidRDefault="00FD6F08">
            <w:pPr>
              <w:pStyle w:val="a3"/>
              <w:snapToGrid w:val="0"/>
              <w:spacing w:line="240" w:lineRule="auto"/>
            </w:pPr>
            <w:r>
              <w:rPr>
                <w:rFonts w:hint="eastAsia"/>
              </w:rPr>
              <w:t>或：不予确认）</w:t>
            </w:r>
          </w:p>
          <w:p w:rsidR="00882F74" w:rsidRDefault="00882F74">
            <w:pPr>
              <w:adjustRightInd w:val="0"/>
              <w:snapToGrid w:val="0"/>
              <w:ind w:firstLineChars="1900" w:firstLine="4560"/>
              <w:rPr>
                <w:rFonts w:ascii="仿宋_GB2312" w:eastAsia="仿宋_GB2312" w:hAnsi="仿宋_GB2312" w:cs="仿宋_GB2312"/>
                <w:kern w:val="0"/>
                <w:sz w:val="24"/>
              </w:rPr>
            </w:pPr>
          </w:p>
          <w:p w:rsidR="00882F74" w:rsidRDefault="00882F74">
            <w:pPr>
              <w:adjustRightInd w:val="0"/>
              <w:snapToGrid w:val="0"/>
              <w:ind w:firstLineChars="1900" w:firstLine="4560"/>
              <w:rPr>
                <w:rFonts w:ascii="仿宋_GB2312" w:eastAsia="仿宋_GB2312" w:hAnsi="仿宋_GB2312" w:cs="仿宋_GB2312"/>
                <w:kern w:val="0"/>
                <w:sz w:val="24"/>
              </w:rPr>
            </w:pPr>
          </w:p>
          <w:p w:rsidR="00882F74" w:rsidRDefault="00882F74">
            <w:pPr>
              <w:adjustRightInd w:val="0"/>
              <w:snapToGrid w:val="0"/>
              <w:ind w:firstLineChars="1900" w:firstLine="4560"/>
              <w:rPr>
                <w:rFonts w:ascii="仿宋_GB2312" w:eastAsia="仿宋_GB2312" w:hAnsi="仿宋_GB2312" w:cs="仿宋_GB2312"/>
                <w:kern w:val="0"/>
                <w:sz w:val="24"/>
              </w:rPr>
            </w:pPr>
          </w:p>
          <w:p w:rsidR="00882F74" w:rsidRDefault="00FD6F08">
            <w:pPr>
              <w:adjustRightInd w:val="0"/>
              <w:snapToGrid w:val="0"/>
              <w:ind w:firstLineChars="1900" w:firstLine="4560"/>
              <w:rPr>
                <w:rFonts w:ascii="仿宋_GB2312" w:eastAsia="仿宋_GB2312" w:hAnsi="仿宋_GB2312" w:cs="仿宋_GB2312"/>
                <w:kern w:val="0"/>
                <w:sz w:val="24"/>
              </w:rPr>
            </w:pPr>
            <w:r>
              <w:rPr>
                <w:rFonts w:ascii="仿宋_GB2312" w:eastAsia="仿宋_GB2312" w:hAnsi="仿宋_GB2312" w:cs="仿宋_GB2312" w:hint="eastAsia"/>
                <w:kern w:val="0"/>
                <w:sz w:val="24"/>
              </w:rPr>
              <w:t>（盖章）</w:t>
            </w:r>
          </w:p>
          <w:p w:rsidR="00882F74" w:rsidRDefault="00FD6F08">
            <w:pPr>
              <w:adjustRightInd w:val="0"/>
              <w:snapToGrid w:val="0"/>
              <w:ind w:firstLineChars="1700" w:firstLine="4080"/>
              <w:rPr>
                <w:rFonts w:ascii="仿宋_GB2312" w:eastAsia="仿宋_GB2312" w:hAnsi="仿宋_GB2312" w:cs="仿宋_GB2312"/>
                <w:sz w:val="24"/>
              </w:rPr>
            </w:pPr>
            <w:r>
              <w:rPr>
                <w:rFonts w:ascii="仿宋_GB2312" w:eastAsia="仿宋_GB2312" w:hAnsi="仿宋_GB2312" w:cs="仿宋_GB2312" w:hint="eastAsia"/>
                <w:kern w:val="0"/>
                <w:sz w:val="24"/>
              </w:rPr>
              <w:t xml:space="preserve">   年    月    日</w:t>
            </w:r>
          </w:p>
        </w:tc>
      </w:tr>
    </w:tbl>
    <w:p w:rsidR="00882F74" w:rsidRDefault="00882F74">
      <w:pPr>
        <w:tabs>
          <w:tab w:val="left" w:pos="6002"/>
        </w:tabs>
        <w:ind w:firstLineChars="200" w:firstLine="640"/>
        <w:jc w:val="left"/>
        <w:rPr>
          <w:rFonts w:ascii="黑体" w:eastAsia="黑体" w:hAnsi="黑体" w:cs="黑体"/>
          <w:sz w:val="32"/>
          <w:szCs w:val="32"/>
        </w:rPr>
        <w:sectPr w:rsidR="00882F74">
          <w:headerReference w:type="default" r:id="rId7"/>
          <w:footerReference w:type="default" r:id="rId8"/>
          <w:pgSz w:w="11906" w:h="16838"/>
          <w:pgMar w:top="1418" w:right="1531" w:bottom="1418" w:left="1531" w:header="851" w:footer="1418" w:gutter="0"/>
          <w:pgNumType w:start="2"/>
          <w:cols w:space="720"/>
          <w:docGrid w:type="lines" w:linePitch="595"/>
        </w:sectPr>
      </w:pPr>
    </w:p>
    <w:p w:rsidR="00882F74" w:rsidRDefault="00FD6F08">
      <w:pPr>
        <w:spacing w:line="590" w:lineRule="exact"/>
        <w:rPr>
          <w:rFonts w:ascii="黑体" w:eastAsia="黑体" w:hAnsi="黑体" w:cs="黑体"/>
          <w:sz w:val="32"/>
          <w:szCs w:val="32"/>
        </w:rPr>
      </w:pPr>
      <w:r>
        <w:rPr>
          <w:rFonts w:ascii="黑体" w:eastAsia="黑体" w:hAnsi="黑体" w:cs="黑体" w:hint="eastAsia"/>
          <w:sz w:val="32"/>
          <w:szCs w:val="32"/>
        </w:rPr>
        <w:lastRenderedPageBreak/>
        <w:t>附表2</w:t>
      </w:r>
    </w:p>
    <w:p w:rsidR="00882F74" w:rsidRDefault="00FD6F08">
      <w:pPr>
        <w:spacing w:line="59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山东省动物防疫条件审查场所</w:t>
      </w:r>
    </w:p>
    <w:p w:rsidR="00882F74" w:rsidRDefault="00FD6F08">
      <w:pPr>
        <w:spacing w:line="59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选址距离评估表</w:t>
      </w:r>
    </w:p>
    <w:tbl>
      <w:tblPr>
        <w:tblpPr w:leftFromText="180" w:rightFromText="180" w:vertAnchor="text" w:horzAnchor="page" w:tblpX="1578" w:tblpY="588"/>
        <w:tblOverlap w:val="never"/>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661"/>
        <w:gridCol w:w="1974"/>
        <w:gridCol w:w="1124"/>
        <w:gridCol w:w="1244"/>
        <w:gridCol w:w="676"/>
        <w:gridCol w:w="728"/>
        <w:gridCol w:w="649"/>
        <w:gridCol w:w="721"/>
      </w:tblGrid>
      <w:tr w:rsidR="00882F74">
        <w:trPr>
          <w:trHeight w:val="391"/>
        </w:trPr>
        <w:tc>
          <w:tcPr>
            <w:tcW w:w="1861" w:type="dxa"/>
            <w:gridSpan w:val="2"/>
            <w:vAlign w:val="center"/>
          </w:tcPr>
          <w:p w:rsidR="00882F74" w:rsidRDefault="00FD6F08">
            <w:pPr>
              <w:spacing w:line="2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申报单位</w:t>
            </w:r>
          </w:p>
        </w:tc>
        <w:tc>
          <w:tcPr>
            <w:tcW w:w="3098" w:type="dxa"/>
            <w:gridSpan w:val="2"/>
            <w:vAlign w:val="center"/>
          </w:tcPr>
          <w:p w:rsidR="00882F74" w:rsidRDefault="00882F74">
            <w:pPr>
              <w:spacing w:line="260" w:lineRule="exact"/>
              <w:jc w:val="center"/>
              <w:rPr>
                <w:rFonts w:ascii="仿宋_GB2312" w:eastAsia="仿宋_GB2312" w:hAnsi="仿宋_GB2312" w:cs="仿宋_GB2312"/>
                <w:color w:val="000000"/>
                <w:sz w:val="24"/>
              </w:rPr>
            </w:pPr>
          </w:p>
        </w:tc>
        <w:tc>
          <w:tcPr>
            <w:tcW w:w="1244" w:type="dxa"/>
            <w:vAlign w:val="center"/>
          </w:tcPr>
          <w:p w:rsidR="00882F74" w:rsidRDefault="00FD6F08">
            <w:pPr>
              <w:spacing w:line="2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 责 人</w:t>
            </w:r>
          </w:p>
        </w:tc>
        <w:tc>
          <w:tcPr>
            <w:tcW w:w="2774" w:type="dxa"/>
            <w:gridSpan w:val="4"/>
            <w:vAlign w:val="center"/>
          </w:tcPr>
          <w:p w:rsidR="00882F74" w:rsidRDefault="00882F74">
            <w:pPr>
              <w:spacing w:line="260" w:lineRule="exact"/>
              <w:jc w:val="center"/>
              <w:rPr>
                <w:rFonts w:ascii="仿宋_GB2312" w:eastAsia="仿宋_GB2312" w:hAnsi="仿宋_GB2312" w:cs="仿宋_GB2312"/>
                <w:color w:val="000000"/>
                <w:sz w:val="24"/>
              </w:rPr>
            </w:pPr>
          </w:p>
        </w:tc>
      </w:tr>
      <w:tr w:rsidR="00882F74">
        <w:trPr>
          <w:trHeight w:val="391"/>
        </w:trPr>
        <w:tc>
          <w:tcPr>
            <w:tcW w:w="1861" w:type="dxa"/>
            <w:gridSpan w:val="2"/>
            <w:vAlign w:val="center"/>
          </w:tcPr>
          <w:p w:rsidR="00882F74" w:rsidRDefault="00FD6F08">
            <w:pPr>
              <w:spacing w:line="260" w:lineRule="exact"/>
              <w:jc w:val="center"/>
              <w:rPr>
                <w:rFonts w:ascii="仿宋_GB2312" w:eastAsia="仿宋_GB2312" w:hAnsi="仿宋_GB2312" w:cs="仿宋_GB2312"/>
                <w:color w:val="000000"/>
                <w:sz w:val="24"/>
              </w:rPr>
            </w:pPr>
            <w:r>
              <w:rPr>
                <w:rFonts w:ascii="仿宋_GB2312" w:eastAsia="仿宋_GB2312" w:hAnsi="仿宋_GB2312" w:cs="仿宋_GB2312" w:hint="eastAsia"/>
                <w:sz w:val="24"/>
              </w:rPr>
              <w:t>建设地点</w:t>
            </w:r>
          </w:p>
        </w:tc>
        <w:tc>
          <w:tcPr>
            <w:tcW w:w="3098" w:type="dxa"/>
            <w:gridSpan w:val="2"/>
            <w:vAlign w:val="center"/>
          </w:tcPr>
          <w:p w:rsidR="00882F74" w:rsidRDefault="00882F74">
            <w:pPr>
              <w:spacing w:line="260" w:lineRule="exact"/>
              <w:jc w:val="center"/>
              <w:rPr>
                <w:rFonts w:ascii="仿宋_GB2312" w:eastAsia="仿宋_GB2312" w:hAnsi="仿宋_GB2312" w:cs="仿宋_GB2312"/>
                <w:color w:val="000000"/>
                <w:sz w:val="24"/>
              </w:rPr>
            </w:pPr>
          </w:p>
        </w:tc>
        <w:tc>
          <w:tcPr>
            <w:tcW w:w="1244" w:type="dxa"/>
            <w:vAlign w:val="center"/>
          </w:tcPr>
          <w:p w:rsidR="00882F74" w:rsidRDefault="00FD6F08">
            <w:pPr>
              <w:spacing w:line="2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 纬 度</w:t>
            </w:r>
          </w:p>
        </w:tc>
        <w:tc>
          <w:tcPr>
            <w:tcW w:w="2774" w:type="dxa"/>
            <w:gridSpan w:val="4"/>
            <w:vAlign w:val="center"/>
          </w:tcPr>
          <w:p w:rsidR="00882F74" w:rsidRDefault="00882F74">
            <w:pPr>
              <w:spacing w:line="260" w:lineRule="exact"/>
              <w:jc w:val="center"/>
              <w:rPr>
                <w:rFonts w:ascii="仿宋_GB2312" w:eastAsia="仿宋_GB2312" w:hAnsi="仿宋_GB2312" w:cs="仿宋_GB2312"/>
                <w:color w:val="000000"/>
                <w:sz w:val="24"/>
              </w:rPr>
            </w:pPr>
          </w:p>
        </w:tc>
      </w:tr>
      <w:tr w:rsidR="00882F74">
        <w:trPr>
          <w:trHeight w:val="391"/>
        </w:trPr>
        <w:tc>
          <w:tcPr>
            <w:tcW w:w="1861" w:type="dxa"/>
            <w:gridSpan w:val="2"/>
            <w:vAlign w:val="center"/>
          </w:tcPr>
          <w:p w:rsidR="00882F74" w:rsidRDefault="00FD6F08">
            <w:pPr>
              <w:spacing w:line="2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 系 人</w:t>
            </w:r>
          </w:p>
        </w:tc>
        <w:tc>
          <w:tcPr>
            <w:tcW w:w="3098" w:type="dxa"/>
            <w:gridSpan w:val="2"/>
            <w:vAlign w:val="center"/>
          </w:tcPr>
          <w:p w:rsidR="00882F74" w:rsidRDefault="00882F74">
            <w:pPr>
              <w:spacing w:line="260" w:lineRule="exact"/>
              <w:jc w:val="center"/>
              <w:rPr>
                <w:rFonts w:ascii="仿宋_GB2312" w:eastAsia="仿宋_GB2312" w:hAnsi="仿宋_GB2312" w:cs="仿宋_GB2312"/>
                <w:color w:val="000000"/>
                <w:sz w:val="24"/>
              </w:rPr>
            </w:pPr>
          </w:p>
        </w:tc>
        <w:tc>
          <w:tcPr>
            <w:tcW w:w="1244" w:type="dxa"/>
            <w:vAlign w:val="center"/>
          </w:tcPr>
          <w:p w:rsidR="00882F74" w:rsidRDefault="00FD6F08">
            <w:pPr>
              <w:spacing w:line="2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2774" w:type="dxa"/>
            <w:gridSpan w:val="4"/>
            <w:vAlign w:val="center"/>
          </w:tcPr>
          <w:p w:rsidR="00882F74" w:rsidRDefault="00882F74">
            <w:pPr>
              <w:spacing w:line="260" w:lineRule="exact"/>
              <w:jc w:val="center"/>
              <w:rPr>
                <w:rFonts w:ascii="仿宋_GB2312" w:eastAsia="仿宋_GB2312" w:hAnsi="仿宋_GB2312" w:cs="仿宋_GB2312"/>
                <w:color w:val="000000"/>
                <w:sz w:val="24"/>
              </w:rPr>
            </w:pPr>
          </w:p>
        </w:tc>
      </w:tr>
      <w:tr w:rsidR="00882F74">
        <w:trPr>
          <w:trHeight w:val="922"/>
        </w:trPr>
        <w:tc>
          <w:tcPr>
            <w:tcW w:w="1861" w:type="dxa"/>
            <w:gridSpan w:val="2"/>
            <w:vAlign w:val="center"/>
          </w:tcPr>
          <w:p w:rsidR="00882F74" w:rsidRDefault="00FD6F08">
            <w:pPr>
              <w:spacing w:line="2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场所类别</w:t>
            </w:r>
          </w:p>
        </w:tc>
        <w:tc>
          <w:tcPr>
            <w:tcW w:w="7116" w:type="dxa"/>
            <w:gridSpan w:val="7"/>
            <w:vAlign w:val="center"/>
          </w:tcPr>
          <w:p w:rsidR="00882F74" w:rsidRDefault="00FD6F08">
            <w:pPr>
              <w:rPr>
                <w:rFonts w:ascii="仿宋_GB2312" w:eastAsia="仿宋_GB2312"/>
                <w:sz w:val="24"/>
                <w:szCs w:val="24"/>
              </w:rPr>
            </w:pPr>
            <w:r>
              <w:rPr>
                <w:rFonts w:ascii="仿宋_GB2312" w:eastAsia="仿宋_GB2312" w:hint="eastAsia"/>
                <w:sz w:val="24"/>
                <w:szCs w:val="24"/>
              </w:rPr>
              <w:t>□动物饲养场            □动物隔离场所</w:t>
            </w:r>
          </w:p>
          <w:p w:rsidR="00882F74" w:rsidRDefault="00FD6F08">
            <w:pPr>
              <w:rPr>
                <w:rFonts w:ascii="仿宋_GB2312" w:eastAsia="仿宋_GB2312" w:hAnsi="仿宋_GB2312"/>
                <w:sz w:val="24"/>
              </w:rPr>
            </w:pPr>
            <w:r>
              <w:rPr>
                <w:rFonts w:ascii="仿宋_GB2312" w:eastAsia="仿宋_GB2312" w:hint="eastAsia"/>
                <w:sz w:val="24"/>
                <w:szCs w:val="24"/>
              </w:rPr>
              <w:t>□动物屠宰加工场        □动物和动物产品无害化处理场</w:t>
            </w:r>
          </w:p>
        </w:tc>
      </w:tr>
      <w:tr w:rsidR="00882F74">
        <w:trPr>
          <w:trHeight w:val="539"/>
        </w:trPr>
        <w:tc>
          <w:tcPr>
            <w:tcW w:w="8977" w:type="dxa"/>
            <w:gridSpan w:val="9"/>
            <w:vAlign w:val="center"/>
          </w:tcPr>
          <w:p w:rsidR="00882F74" w:rsidRDefault="00FD6F08">
            <w:pPr>
              <w:widowControl/>
              <w:spacing w:line="260" w:lineRule="exact"/>
              <w:jc w:val="center"/>
              <w:rPr>
                <w:rFonts w:ascii="黑体" w:eastAsia="黑体" w:hAnsi="黑体" w:cs="仿宋_GB2312"/>
                <w:color w:val="000000"/>
                <w:kern w:val="0"/>
                <w:sz w:val="24"/>
                <w:szCs w:val="24"/>
              </w:rPr>
            </w:pPr>
            <w:r>
              <w:rPr>
                <w:rFonts w:ascii="黑体" w:eastAsia="黑体" w:hAnsi="黑体" w:cs="仿宋_GB2312" w:hint="eastAsia"/>
                <w:color w:val="000000"/>
                <w:kern w:val="0"/>
                <w:sz w:val="24"/>
                <w:szCs w:val="24"/>
              </w:rPr>
              <w:t>评估要素</w:t>
            </w:r>
          </w:p>
        </w:tc>
      </w:tr>
      <w:tr w:rsidR="00882F74">
        <w:trPr>
          <w:trHeight w:val="569"/>
        </w:trPr>
        <w:tc>
          <w:tcPr>
            <w:tcW w:w="1200"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项目</w:t>
            </w:r>
          </w:p>
        </w:tc>
        <w:tc>
          <w:tcPr>
            <w:tcW w:w="661"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编号</w:t>
            </w:r>
          </w:p>
        </w:tc>
        <w:tc>
          <w:tcPr>
            <w:tcW w:w="1974"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评估内容</w:t>
            </w:r>
          </w:p>
        </w:tc>
        <w:tc>
          <w:tcPr>
            <w:tcW w:w="3044" w:type="dxa"/>
            <w:gridSpan w:val="3"/>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核查形式</w:t>
            </w:r>
          </w:p>
        </w:tc>
        <w:tc>
          <w:tcPr>
            <w:tcW w:w="728"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分值</w:t>
            </w:r>
          </w:p>
        </w:tc>
        <w:tc>
          <w:tcPr>
            <w:tcW w:w="649"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得分</w:t>
            </w:r>
          </w:p>
        </w:tc>
        <w:tc>
          <w:tcPr>
            <w:tcW w:w="721"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备注</w:t>
            </w:r>
          </w:p>
        </w:tc>
      </w:tr>
      <w:tr w:rsidR="00882F74">
        <w:trPr>
          <w:trHeight w:val="1594"/>
        </w:trPr>
        <w:tc>
          <w:tcPr>
            <w:tcW w:w="1200"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天然屏障</w:t>
            </w:r>
          </w:p>
        </w:tc>
        <w:tc>
          <w:tcPr>
            <w:tcW w:w="661" w:type="dxa"/>
            <w:vAlign w:val="center"/>
          </w:tcPr>
          <w:p w:rsidR="00882F74" w:rsidRDefault="00FD6F08">
            <w:pPr>
              <w:widowControl/>
              <w:spacing w:line="26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color w:val="000000"/>
                <w:kern w:val="0"/>
                <w:szCs w:val="21"/>
              </w:rPr>
              <w:t>1</w:t>
            </w:r>
          </w:p>
        </w:tc>
        <w:tc>
          <w:tcPr>
            <w:tcW w:w="1974" w:type="dxa"/>
            <w:vAlign w:val="center"/>
          </w:tcPr>
          <w:p w:rsidR="00882F74" w:rsidRDefault="00FD6F08">
            <w:pPr>
              <w:widowControl/>
              <w:spacing w:line="260" w:lineRule="exact"/>
              <w:rPr>
                <w:rFonts w:ascii="仿宋_GB2312" w:eastAsia="仿宋_GB2312" w:hAnsi="仿宋_GB2312" w:cs="仿宋_GB2312"/>
                <w:b/>
                <w:bCs/>
                <w:color w:val="000000"/>
                <w:kern w:val="0"/>
                <w:szCs w:val="21"/>
              </w:rPr>
            </w:pPr>
            <w:r>
              <w:rPr>
                <w:rFonts w:ascii="仿宋_GB2312" w:eastAsia="仿宋_GB2312" w:hAnsi="仿宋_GB2312" w:cs="仿宋_GB2312" w:hint="eastAsia"/>
                <w:color w:val="000000"/>
                <w:kern w:val="0"/>
                <w:szCs w:val="21"/>
              </w:rPr>
              <w:t>周边的自然环境</w:t>
            </w:r>
          </w:p>
        </w:tc>
        <w:tc>
          <w:tcPr>
            <w:tcW w:w="3044" w:type="dxa"/>
            <w:gridSpan w:val="3"/>
            <w:vAlign w:val="center"/>
          </w:tcPr>
          <w:p w:rsidR="00882F74" w:rsidRDefault="00FD6F08">
            <w:pPr>
              <w:widowControl/>
              <w:spacing w:line="260" w:lineRule="exact"/>
              <w:rPr>
                <w:rFonts w:ascii="仿宋_GB2312" w:eastAsia="仿宋_GB2312" w:hAnsi="仿宋_GB2312" w:cs="仿宋_GB2312"/>
                <w:b/>
                <w:bCs/>
                <w:color w:val="000000"/>
                <w:kern w:val="0"/>
                <w:szCs w:val="21"/>
              </w:rPr>
            </w:pPr>
            <w:r>
              <w:rPr>
                <w:rFonts w:ascii="仿宋_GB2312" w:eastAsia="仿宋_GB2312" w:hAnsi="仿宋_GB2312" w:cs="仿宋_GB2312" w:hint="eastAsia"/>
                <w:color w:val="000000"/>
                <w:kern w:val="0"/>
                <w:szCs w:val="21"/>
              </w:rPr>
              <w:t>查看周边有无</w:t>
            </w:r>
            <w:r>
              <w:rPr>
                <w:rFonts w:ascii="仿宋_GB2312" w:eastAsia="仿宋_GB2312" w:hAnsi="宋体" w:hint="eastAsia"/>
                <w:szCs w:val="21"/>
              </w:rPr>
              <w:t>河流（</w:t>
            </w:r>
            <w:r>
              <w:rPr>
                <w:rFonts w:ascii="仿宋_GB2312" w:eastAsia="仿宋_GB2312" w:hAnsi="仿宋_GB2312" w:cs="仿宋_GB2312" w:hint="eastAsia"/>
                <w:szCs w:val="21"/>
              </w:rPr>
              <w:t>溪流</w:t>
            </w:r>
            <w:r>
              <w:rPr>
                <w:rFonts w:ascii="仿宋_GB2312" w:eastAsia="仿宋_GB2312" w:hAnsi="宋体" w:hint="eastAsia"/>
                <w:szCs w:val="21"/>
              </w:rPr>
              <w:t>、水沟）、湖泊（水库、池塘）、树林（灌木、草地）、</w:t>
            </w:r>
            <w:r>
              <w:rPr>
                <w:rFonts w:ascii="仿宋_GB2312" w:eastAsia="仿宋_GB2312" w:hAnsi="仿宋_GB2312" w:cs="仿宋_GB2312" w:hint="eastAsia"/>
                <w:szCs w:val="21"/>
              </w:rPr>
              <w:t>山峦（山峰、山丘）</w:t>
            </w:r>
            <w:r>
              <w:rPr>
                <w:rFonts w:ascii="仿宋_GB2312" w:eastAsia="仿宋_GB2312" w:hAnsi="宋体" w:hint="eastAsia"/>
                <w:szCs w:val="21"/>
              </w:rPr>
              <w:t>、大型沟壑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szCs w:val="21"/>
              </w:rPr>
              <w:t>田地</w:t>
            </w:r>
            <w:r>
              <w:rPr>
                <w:rFonts w:ascii="仿宋_GB2312" w:eastAsia="仿宋_GB2312" w:hAnsi="仿宋_GB2312" w:cs="仿宋_GB2312" w:hint="eastAsia"/>
                <w:color w:val="000000"/>
                <w:kern w:val="0"/>
                <w:szCs w:val="21"/>
              </w:rPr>
              <w:t>等隔断。根据天然隔断的有效性评分。</w:t>
            </w:r>
          </w:p>
        </w:tc>
        <w:tc>
          <w:tcPr>
            <w:tcW w:w="728" w:type="dxa"/>
            <w:vAlign w:val="center"/>
          </w:tcPr>
          <w:p w:rsidR="00882F74" w:rsidRDefault="00FD6F08">
            <w:pPr>
              <w:widowControl/>
              <w:spacing w:line="26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color w:val="000000"/>
                <w:kern w:val="0"/>
                <w:szCs w:val="21"/>
              </w:rPr>
              <w:t>10</w:t>
            </w:r>
          </w:p>
        </w:tc>
        <w:tc>
          <w:tcPr>
            <w:tcW w:w="649" w:type="dxa"/>
            <w:vAlign w:val="center"/>
          </w:tcPr>
          <w:p w:rsidR="00882F74" w:rsidRDefault="00882F74">
            <w:pPr>
              <w:widowControl/>
              <w:spacing w:line="260" w:lineRule="exact"/>
              <w:jc w:val="center"/>
              <w:rPr>
                <w:rFonts w:ascii="仿宋_GB2312" w:eastAsia="仿宋_GB2312" w:hAnsi="仿宋_GB2312" w:cs="仿宋_GB2312"/>
                <w:b/>
                <w:bCs/>
                <w:color w:val="000000"/>
                <w:kern w:val="0"/>
                <w:szCs w:val="21"/>
              </w:rPr>
            </w:pPr>
          </w:p>
        </w:tc>
        <w:tc>
          <w:tcPr>
            <w:tcW w:w="721" w:type="dxa"/>
            <w:vAlign w:val="center"/>
          </w:tcPr>
          <w:p w:rsidR="00882F74" w:rsidRDefault="00882F74">
            <w:pPr>
              <w:widowControl/>
              <w:spacing w:line="260" w:lineRule="exact"/>
              <w:rPr>
                <w:rFonts w:ascii="仿宋_GB2312" w:eastAsia="仿宋_GB2312" w:hAnsi="仿宋_GB2312" w:cs="仿宋_GB2312"/>
                <w:b/>
                <w:bCs/>
                <w:color w:val="000000"/>
                <w:kern w:val="0"/>
                <w:szCs w:val="21"/>
              </w:rPr>
            </w:pPr>
          </w:p>
        </w:tc>
      </w:tr>
      <w:tr w:rsidR="00882F74">
        <w:trPr>
          <w:trHeight w:val="2680"/>
        </w:trPr>
        <w:tc>
          <w:tcPr>
            <w:tcW w:w="1200"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人工屏障</w:t>
            </w:r>
          </w:p>
        </w:tc>
        <w:tc>
          <w:tcPr>
            <w:tcW w:w="661" w:type="dxa"/>
            <w:vAlign w:val="center"/>
          </w:tcPr>
          <w:p w:rsidR="00882F74" w:rsidRDefault="00FD6F08">
            <w:pPr>
              <w:widowControl/>
              <w:spacing w:line="26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color w:val="000000"/>
                <w:kern w:val="0"/>
                <w:szCs w:val="21"/>
              </w:rPr>
              <w:t>2</w:t>
            </w:r>
          </w:p>
        </w:tc>
        <w:tc>
          <w:tcPr>
            <w:tcW w:w="1974" w:type="dxa"/>
            <w:vAlign w:val="center"/>
          </w:tcPr>
          <w:p w:rsidR="00882F74" w:rsidRDefault="00FD6F08">
            <w:pPr>
              <w:widowControl/>
              <w:spacing w:line="320" w:lineRule="exact"/>
              <w:rPr>
                <w:rFonts w:ascii="仿宋_GB2312" w:eastAsia="仿宋_GB2312" w:hAnsi="仿宋_GB2312" w:cs="仿宋_GB2312"/>
                <w:b/>
                <w:bCs/>
                <w:color w:val="000000"/>
                <w:kern w:val="0"/>
                <w:szCs w:val="21"/>
              </w:rPr>
            </w:pPr>
            <w:r>
              <w:rPr>
                <w:rFonts w:ascii="仿宋_GB2312" w:eastAsia="仿宋_GB2312" w:hAnsi="仿宋_GB2312" w:cs="仿宋_GB2312" w:hint="eastAsia"/>
                <w:szCs w:val="21"/>
              </w:rPr>
              <w:t>具有实地围墙、密闭围档、防疫壕沟等物理隔离的人工屏障</w:t>
            </w:r>
          </w:p>
        </w:tc>
        <w:tc>
          <w:tcPr>
            <w:tcW w:w="3044" w:type="dxa"/>
            <w:gridSpan w:val="3"/>
            <w:vAlign w:val="center"/>
          </w:tcPr>
          <w:p w:rsidR="00882F74" w:rsidRDefault="00FD6F08">
            <w:pPr>
              <w:snapToGrid w:val="0"/>
              <w:rPr>
                <w:rFonts w:ascii="仿宋_GB2312" w:eastAsia="仿宋_GB2312" w:hAnsi="仿宋_GB2312" w:cs="仿宋_GB2312"/>
                <w:szCs w:val="21"/>
              </w:rPr>
            </w:pPr>
            <w:r>
              <w:rPr>
                <w:rFonts w:ascii="仿宋_GB2312" w:eastAsia="仿宋_GB2312" w:hAnsi="仿宋_GB2312" w:cs="仿宋_GB2312" w:hint="eastAsia"/>
                <w:szCs w:val="21"/>
              </w:rPr>
              <w:t>查看是否建设1.5米以上高度实地围墙、密闭围挡，可防止人员及畜禽随意进入的密闭围档，挖有1.5米深的防疫壕沟，周边绿植等。</w:t>
            </w:r>
            <w:r>
              <w:rPr>
                <w:rFonts w:ascii="仿宋_GB2312" w:eastAsia="仿宋_GB2312" w:hAnsi="仿宋_GB2312" w:cs="仿宋_GB2312" w:hint="eastAsia"/>
                <w:color w:val="000000"/>
                <w:kern w:val="0"/>
                <w:szCs w:val="21"/>
              </w:rPr>
              <w:t>根据隔断效果综合评估给分。</w:t>
            </w:r>
          </w:p>
          <w:p w:rsidR="00882F74" w:rsidRDefault="00FD6F08">
            <w:pPr>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本项未建设完成前根据建设方案采用承诺方式评分</w:t>
            </w:r>
            <w:r>
              <w:rPr>
                <w:rFonts w:ascii="仿宋_GB2312" w:eastAsia="仿宋_GB2312" w:hAnsi="仿宋_GB2312" w:cs="仿宋_GB2312" w:hint="eastAsia"/>
                <w:szCs w:val="21"/>
              </w:rPr>
              <w:t>，被评估场所负责人员签名：</w:t>
            </w:r>
          </w:p>
          <w:p w:rsidR="00882F74" w:rsidRDefault="00FD6F08">
            <w:pPr>
              <w:spacing w:line="260" w:lineRule="exact"/>
              <w:rPr>
                <w:rFonts w:ascii="仿宋_GB2312" w:eastAsia="仿宋_GB2312" w:hAnsi="仿宋_GB2312" w:cs="仿宋_GB2312"/>
                <w:b/>
                <w:bCs/>
                <w:color w:val="000000"/>
                <w:kern w:val="0"/>
                <w:szCs w:val="21"/>
              </w:rPr>
            </w:pPr>
            <w:r>
              <w:rPr>
                <w:rFonts w:ascii="仿宋_GB2312" w:eastAsia="仿宋_GB2312" w:hAnsi="仿宋_GB2312" w:cs="仿宋_GB2312" w:hint="eastAsia"/>
                <w:szCs w:val="21"/>
              </w:rPr>
              <w:t xml:space="preserve">           ）</w:t>
            </w:r>
          </w:p>
        </w:tc>
        <w:tc>
          <w:tcPr>
            <w:tcW w:w="728" w:type="dxa"/>
            <w:vAlign w:val="center"/>
          </w:tcPr>
          <w:p w:rsidR="00882F74" w:rsidRDefault="00FD6F08">
            <w:pPr>
              <w:widowControl/>
              <w:spacing w:line="26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color w:val="000000"/>
                <w:kern w:val="0"/>
                <w:szCs w:val="21"/>
              </w:rPr>
              <w:t>20</w:t>
            </w:r>
          </w:p>
        </w:tc>
        <w:tc>
          <w:tcPr>
            <w:tcW w:w="649" w:type="dxa"/>
            <w:vAlign w:val="center"/>
          </w:tcPr>
          <w:p w:rsidR="00882F74" w:rsidRDefault="00882F74">
            <w:pPr>
              <w:widowControl/>
              <w:spacing w:line="260" w:lineRule="exact"/>
              <w:jc w:val="center"/>
              <w:rPr>
                <w:rFonts w:ascii="仿宋_GB2312" w:eastAsia="仿宋_GB2312" w:hAnsi="仿宋_GB2312" w:cs="仿宋_GB2312"/>
                <w:b/>
                <w:bCs/>
                <w:color w:val="000000"/>
                <w:kern w:val="0"/>
                <w:szCs w:val="21"/>
              </w:rPr>
            </w:pPr>
          </w:p>
        </w:tc>
        <w:tc>
          <w:tcPr>
            <w:tcW w:w="721" w:type="dxa"/>
            <w:vAlign w:val="center"/>
          </w:tcPr>
          <w:p w:rsidR="00882F74" w:rsidRDefault="00882F74">
            <w:pPr>
              <w:widowControl/>
              <w:spacing w:line="260" w:lineRule="exact"/>
              <w:rPr>
                <w:rFonts w:ascii="仿宋_GB2312" w:eastAsia="仿宋_GB2312" w:hAnsi="仿宋_GB2312" w:cs="仿宋_GB2312"/>
                <w:b/>
                <w:bCs/>
                <w:color w:val="000000"/>
                <w:kern w:val="0"/>
                <w:szCs w:val="21"/>
              </w:rPr>
            </w:pPr>
          </w:p>
        </w:tc>
      </w:tr>
      <w:tr w:rsidR="00882F74">
        <w:trPr>
          <w:trHeight w:val="2353"/>
        </w:trPr>
        <w:tc>
          <w:tcPr>
            <w:tcW w:w="1200"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污水处理</w:t>
            </w:r>
          </w:p>
        </w:tc>
        <w:tc>
          <w:tcPr>
            <w:tcW w:w="661"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p>
        </w:tc>
        <w:tc>
          <w:tcPr>
            <w:tcW w:w="1974" w:type="dxa"/>
            <w:vAlign w:val="center"/>
          </w:tcPr>
          <w:p w:rsidR="00882F74" w:rsidRDefault="00FD6F08">
            <w:pPr>
              <w:widowControl/>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与饮用水源地阻隔情况</w:t>
            </w:r>
          </w:p>
        </w:tc>
        <w:tc>
          <w:tcPr>
            <w:tcW w:w="3044" w:type="dxa"/>
            <w:gridSpan w:val="3"/>
            <w:vAlign w:val="center"/>
          </w:tcPr>
          <w:p w:rsidR="00882F74" w:rsidRDefault="00FD6F08">
            <w:pPr>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查看距离水源地距离，有无相应的污物污水处理设施设备和防渗防漏措施等，根据防止场所污染饮用水源地的效果综合评估给分。（</w:t>
            </w:r>
            <w:r>
              <w:rPr>
                <w:rFonts w:ascii="仿宋_GB2312" w:eastAsia="仿宋_GB2312" w:hAnsi="仿宋_GB2312" w:cs="仿宋_GB2312" w:hint="eastAsia"/>
                <w:b/>
                <w:bCs/>
                <w:szCs w:val="21"/>
              </w:rPr>
              <w:t>本项未建设完成前根据建设方案采用承诺方式评分</w:t>
            </w:r>
            <w:r>
              <w:rPr>
                <w:rFonts w:ascii="仿宋_GB2312" w:eastAsia="仿宋_GB2312" w:hAnsi="仿宋_GB2312" w:cs="仿宋_GB2312" w:hint="eastAsia"/>
                <w:szCs w:val="21"/>
              </w:rPr>
              <w:t>，被评估场所负责人员签名：</w:t>
            </w:r>
          </w:p>
          <w:p w:rsidR="00882F74" w:rsidRDefault="00FD6F08">
            <w:pP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728"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20</w:t>
            </w:r>
          </w:p>
        </w:tc>
        <w:tc>
          <w:tcPr>
            <w:tcW w:w="649" w:type="dxa"/>
            <w:vAlign w:val="center"/>
          </w:tcPr>
          <w:p w:rsidR="00882F74" w:rsidRDefault="00882F74">
            <w:pPr>
              <w:widowControl/>
              <w:spacing w:line="260" w:lineRule="exact"/>
              <w:jc w:val="center"/>
              <w:rPr>
                <w:rFonts w:ascii="仿宋_GB2312" w:eastAsia="仿宋_GB2312" w:hAnsi="仿宋_GB2312" w:cs="仿宋_GB2312"/>
                <w:b/>
                <w:bCs/>
                <w:color w:val="000000"/>
                <w:kern w:val="0"/>
                <w:szCs w:val="21"/>
              </w:rPr>
            </w:pPr>
          </w:p>
        </w:tc>
        <w:tc>
          <w:tcPr>
            <w:tcW w:w="721" w:type="dxa"/>
            <w:vAlign w:val="center"/>
          </w:tcPr>
          <w:p w:rsidR="00882F74" w:rsidRDefault="00882F74">
            <w:pPr>
              <w:widowControl/>
              <w:spacing w:line="260" w:lineRule="exact"/>
              <w:rPr>
                <w:rFonts w:ascii="仿宋_GB2312" w:eastAsia="仿宋_GB2312" w:hAnsi="仿宋_GB2312" w:cs="仿宋_GB2312"/>
                <w:b/>
                <w:bCs/>
                <w:color w:val="000000"/>
                <w:kern w:val="0"/>
                <w:szCs w:val="21"/>
              </w:rPr>
            </w:pPr>
          </w:p>
        </w:tc>
      </w:tr>
      <w:tr w:rsidR="00882F74">
        <w:trPr>
          <w:trHeight w:val="1086"/>
        </w:trPr>
        <w:tc>
          <w:tcPr>
            <w:tcW w:w="1200" w:type="dxa"/>
            <w:vAlign w:val="center"/>
          </w:tcPr>
          <w:p w:rsidR="00882F74" w:rsidRDefault="00FD6F08">
            <w:pPr>
              <w:widowControl/>
              <w:spacing w:line="26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color w:val="000000"/>
                <w:kern w:val="0"/>
                <w:szCs w:val="21"/>
              </w:rPr>
              <w:t>动物分布</w:t>
            </w:r>
          </w:p>
        </w:tc>
        <w:tc>
          <w:tcPr>
            <w:tcW w:w="661"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p>
        </w:tc>
        <w:tc>
          <w:tcPr>
            <w:tcW w:w="1974" w:type="dxa"/>
            <w:vAlign w:val="center"/>
          </w:tcPr>
          <w:p w:rsidR="00882F74" w:rsidRDefault="00FD6F08">
            <w:pPr>
              <w:widowControl/>
              <w:spacing w:line="26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相关畜禽的分布与密度</w:t>
            </w:r>
          </w:p>
        </w:tc>
        <w:tc>
          <w:tcPr>
            <w:tcW w:w="3044" w:type="dxa"/>
            <w:gridSpan w:val="3"/>
            <w:vAlign w:val="center"/>
          </w:tcPr>
          <w:p w:rsidR="00882F74" w:rsidRDefault="00FD6F08">
            <w:pPr>
              <w:widowControl/>
              <w:spacing w:line="26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查看周边3公里内畜禽的数量。综合评估给分。</w:t>
            </w:r>
          </w:p>
        </w:tc>
        <w:tc>
          <w:tcPr>
            <w:tcW w:w="728"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10</w:t>
            </w:r>
          </w:p>
        </w:tc>
        <w:tc>
          <w:tcPr>
            <w:tcW w:w="649" w:type="dxa"/>
            <w:vAlign w:val="center"/>
          </w:tcPr>
          <w:p w:rsidR="00882F74" w:rsidRDefault="00882F74">
            <w:pPr>
              <w:widowControl/>
              <w:spacing w:line="260" w:lineRule="exact"/>
              <w:jc w:val="center"/>
              <w:rPr>
                <w:rFonts w:ascii="仿宋_GB2312" w:eastAsia="仿宋_GB2312" w:hAnsi="仿宋_GB2312" w:cs="仿宋_GB2312"/>
                <w:b/>
                <w:bCs/>
                <w:color w:val="000000"/>
                <w:kern w:val="0"/>
                <w:szCs w:val="21"/>
              </w:rPr>
            </w:pPr>
          </w:p>
        </w:tc>
        <w:tc>
          <w:tcPr>
            <w:tcW w:w="721" w:type="dxa"/>
            <w:vAlign w:val="center"/>
          </w:tcPr>
          <w:p w:rsidR="00882F74" w:rsidRDefault="00882F74">
            <w:pPr>
              <w:widowControl/>
              <w:spacing w:line="260" w:lineRule="exact"/>
              <w:rPr>
                <w:rFonts w:ascii="仿宋_GB2312" w:eastAsia="仿宋_GB2312" w:hAnsi="仿宋_GB2312" w:cs="仿宋_GB2312"/>
                <w:b/>
                <w:bCs/>
                <w:color w:val="000000"/>
                <w:kern w:val="0"/>
                <w:szCs w:val="21"/>
              </w:rPr>
            </w:pPr>
          </w:p>
        </w:tc>
      </w:tr>
      <w:tr w:rsidR="00882F74">
        <w:trPr>
          <w:trHeight w:val="1086"/>
        </w:trPr>
        <w:tc>
          <w:tcPr>
            <w:tcW w:w="1200"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lastRenderedPageBreak/>
              <w:t>消洗消毒</w:t>
            </w:r>
          </w:p>
        </w:tc>
        <w:tc>
          <w:tcPr>
            <w:tcW w:w="661" w:type="dxa"/>
            <w:vAlign w:val="center"/>
          </w:tcPr>
          <w:p w:rsidR="00882F74" w:rsidRDefault="00FD6F08">
            <w:pPr>
              <w:widowControl/>
              <w:spacing w:line="3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kern w:val="0"/>
                <w:szCs w:val="21"/>
              </w:rPr>
              <w:t>5</w:t>
            </w:r>
          </w:p>
        </w:tc>
        <w:tc>
          <w:tcPr>
            <w:tcW w:w="1974" w:type="dxa"/>
            <w:vAlign w:val="center"/>
          </w:tcPr>
          <w:p w:rsidR="00882F74" w:rsidRDefault="00FD6F08">
            <w:pPr>
              <w:widowControl/>
              <w:spacing w:line="320" w:lineRule="exact"/>
              <w:rPr>
                <w:rFonts w:ascii="仿宋_GB2312" w:eastAsia="仿宋_GB2312" w:hAnsi="仿宋_GB2312" w:cs="仿宋_GB2312"/>
                <w:b/>
                <w:bCs/>
                <w:color w:val="000000"/>
                <w:kern w:val="0"/>
                <w:szCs w:val="21"/>
              </w:rPr>
            </w:pPr>
            <w:r>
              <w:rPr>
                <w:rFonts w:ascii="仿宋_GB2312" w:eastAsia="仿宋_GB2312" w:hAnsi="宋体" w:hint="eastAsia"/>
                <w:szCs w:val="21"/>
              </w:rPr>
              <w:t>具有与其规模相适应的清洗消毒设施设备</w:t>
            </w:r>
          </w:p>
        </w:tc>
        <w:tc>
          <w:tcPr>
            <w:tcW w:w="3044" w:type="dxa"/>
            <w:gridSpan w:val="3"/>
            <w:vAlign w:val="center"/>
          </w:tcPr>
          <w:p w:rsidR="00882F74" w:rsidRDefault="00FD6F08">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建设有车辆洗消车间，配有车辆冲洗消毒设备和烘干房（适用于无害化处理场）；场区出入口建设有车辆和人员消毒通道；生产区出入口建设有人员消毒通道。根据消洗消毒设备与其规模的匹配性综合评估打分。 </w:t>
            </w:r>
          </w:p>
          <w:p w:rsidR="00882F74" w:rsidRDefault="00FD6F08">
            <w:pPr>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本项未建设完成前根据建设方案采用承诺方式评分</w:t>
            </w:r>
            <w:r>
              <w:rPr>
                <w:rFonts w:ascii="仿宋_GB2312" w:eastAsia="仿宋_GB2312" w:hAnsi="仿宋_GB2312" w:cs="仿宋_GB2312" w:hint="eastAsia"/>
                <w:szCs w:val="21"/>
              </w:rPr>
              <w:t>，被评估场所负责人员签名：</w:t>
            </w:r>
          </w:p>
          <w:p w:rsidR="00882F74" w:rsidRDefault="00FD6F08">
            <w:pPr>
              <w:snapToGrid w:val="0"/>
              <w:rPr>
                <w:rFonts w:ascii="仿宋_GB2312" w:eastAsia="仿宋_GB2312" w:hAnsi="仿宋_GB2312" w:cs="仿宋_GB2312"/>
                <w:b/>
                <w:bCs/>
                <w:color w:val="000000"/>
                <w:kern w:val="0"/>
                <w:szCs w:val="21"/>
              </w:rPr>
            </w:pPr>
            <w:r>
              <w:rPr>
                <w:rFonts w:ascii="仿宋_GB2312" w:eastAsia="仿宋_GB2312" w:hAnsi="仿宋_GB2312" w:cs="仿宋_GB2312" w:hint="eastAsia"/>
                <w:szCs w:val="21"/>
              </w:rPr>
              <w:t xml:space="preserve">           ）</w:t>
            </w:r>
          </w:p>
        </w:tc>
        <w:tc>
          <w:tcPr>
            <w:tcW w:w="728" w:type="dxa"/>
            <w:vAlign w:val="center"/>
          </w:tcPr>
          <w:p w:rsidR="00882F74" w:rsidRDefault="00FD6F08">
            <w:pPr>
              <w:widowControl/>
              <w:spacing w:line="26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color w:val="000000"/>
                <w:kern w:val="0"/>
                <w:szCs w:val="21"/>
              </w:rPr>
              <w:t>15</w:t>
            </w:r>
          </w:p>
        </w:tc>
        <w:tc>
          <w:tcPr>
            <w:tcW w:w="649" w:type="dxa"/>
            <w:vAlign w:val="center"/>
          </w:tcPr>
          <w:p w:rsidR="00882F74" w:rsidRDefault="00882F74">
            <w:pPr>
              <w:spacing w:line="260" w:lineRule="exact"/>
              <w:jc w:val="center"/>
              <w:rPr>
                <w:rFonts w:ascii="仿宋_GB2312" w:eastAsia="仿宋_GB2312" w:hAnsi="仿宋_GB2312" w:cs="仿宋_GB2312"/>
                <w:b/>
                <w:bCs/>
                <w:color w:val="000000"/>
                <w:kern w:val="0"/>
                <w:szCs w:val="21"/>
              </w:rPr>
            </w:pPr>
          </w:p>
        </w:tc>
        <w:tc>
          <w:tcPr>
            <w:tcW w:w="721" w:type="dxa"/>
            <w:vAlign w:val="center"/>
          </w:tcPr>
          <w:p w:rsidR="00882F74" w:rsidRDefault="00882F74">
            <w:pPr>
              <w:widowControl/>
              <w:spacing w:line="260" w:lineRule="exact"/>
              <w:rPr>
                <w:rFonts w:ascii="仿宋_GB2312" w:eastAsia="仿宋_GB2312" w:hAnsi="仿宋_GB2312" w:cs="仿宋_GB2312"/>
                <w:b/>
                <w:bCs/>
                <w:color w:val="000000"/>
                <w:kern w:val="0"/>
                <w:szCs w:val="21"/>
              </w:rPr>
            </w:pPr>
          </w:p>
        </w:tc>
      </w:tr>
      <w:tr w:rsidR="00882F74">
        <w:trPr>
          <w:trHeight w:val="980"/>
        </w:trPr>
        <w:tc>
          <w:tcPr>
            <w:tcW w:w="1200"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无害化处理</w:t>
            </w:r>
          </w:p>
        </w:tc>
        <w:tc>
          <w:tcPr>
            <w:tcW w:w="661"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w:t>
            </w:r>
          </w:p>
        </w:tc>
        <w:tc>
          <w:tcPr>
            <w:tcW w:w="1974" w:type="dxa"/>
            <w:vAlign w:val="center"/>
          </w:tcPr>
          <w:p w:rsidR="00882F74" w:rsidRDefault="00FD6F08">
            <w:pPr>
              <w:widowControl/>
              <w:spacing w:line="260" w:lineRule="exact"/>
              <w:rPr>
                <w:rFonts w:ascii="仿宋_GB2312" w:eastAsia="仿宋_GB2312" w:hAnsi="仿宋_GB2312" w:cs="仿宋_GB2312"/>
                <w:color w:val="000000"/>
                <w:szCs w:val="21"/>
              </w:rPr>
            </w:pPr>
            <w:r>
              <w:rPr>
                <w:rFonts w:ascii="仿宋_GB2312" w:eastAsia="仿宋_GB2312" w:hAnsi="仿宋_GB2312" w:cs="仿宋_GB2312" w:hint="eastAsia"/>
                <w:szCs w:val="21"/>
              </w:rPr>
              <w:t>病死畜禽无害化处理能力</w:t>
            </w:r>
          </w:p>
        </w:tc>
        <w:tc>
          <w:tcPr>
            <w:tcW w:w="3044" w:type="dxa"/>
            <w:gridSpan w:val="3"/>
            <w:vAlign w:val="center"/>
          </w:tcPr>
          <w:p w:rsidR="00882F74" w:rsidRDefault="00FD6F08">
            <w:pPr>
              <w:snapToGrid w:val="0"/>
              <w:rPr>
                <w:rFonts w:ascii="仿宋_GB2312" w:eastAsia="仿宋_GB2312" w:hAnsi="仿宋_GB2312" w:cs="仿宋_GB2312"/>
                <w:szCs w:val="21"/>
              </w:rPr>
            </w:pPr>
            <w:r>
              <w:rPr>
                <w:rFonts w:ascii="仿宋_GB2312" w:eastAsia="仿宋_GB2312" w:hAnsi="仿宋_GB2312" w:cs="仿宋_GB2312" w:hint="eastAsia"/>
                <w:szCs w:val="21"/>
              </w:rPr>
              <w:t>配备符合国家规定的病死动物和病害动物产品无害化处理设施设备（自行处理）或冷藏冷冻等暂存设施设备（委托有资质单位统一收集处理）。</w:t>
            </w:r>
          </w:p>
          <w:p w:rsidR="00882F74" w:rsidRDefault="00FD6F08">
            <w:pPr>
              <w:spacing w:line="260" w:lineRule="exact"/>
              <w:rPr>
                <w:rFonts w:ascii="仿宋_GB2312" w:eastAsia="仿宋_GB2312" w:hAnsi="仿宋_GB2312" w:cs="仿宋_GB2312"/>
                <w:szCs w:val="21"/>
              </w:rPr>
            </w:pPr>
            <w:r>
              <w:rPr>
                <w:rFonts w:ascii="仿宋_GB2312" w:eastAsia="仿宋_GB2312" w:hAnsi="仿宋_GB2312" w:cs="仿宋_GB2312" w:hint="eastAsia"/>
                <w:b/>
                <w:bCs/>
                <w:szCs w:val="21"/>
              </w:rPr>
              <w:t>本项未建设完成前根据建设方案采用承诺方式评分</w:t>
            </w:r>
            <w:r>
              <w:rPr>
                <w:rFonts w:ascii="仿宋_GB2312" w:eastAsia="仿宋_GB2312" w:hAnsi="仿宋_GB2312" w:cs="仿宋_GB2312" w:hint="eastAsia"/>
                <w:szCs w:val="21"/>
              </w:rPr>
              <w:t>，被评估场所负责人员签名：</w:t>
            </w:r>
          </w:p>
          <w:p w:rsidR="00882F74" w:rsidRDefault="00FD6F08">
            <w:pPr>
              <w:snapToGrid w:val="0"/>
              <w:rPr>
                <w:rFonts w:ascii="仿宋_GB2312" w:eastAsia="仿宋_GB2312" w:hAnsi="仿宋_GB2312" w:cs="仿宋_GB2312"/>
                <w:color w:val="000000"/>
                <w:kern w:val="0"/>
                <w:szCs w:val="21"/>
              </w:rPr>
            </w:pPr>
            <w:r>
              <w:rPr>
                <w:rFonts w:ascii="仿宋_GB2312" w:eastAsia="仿宋_GB2312" w:hAnsi="仿宋_GB2312" w:cs="仿宋_GB2312" w:hint="eastAsia"/>
                <w:szCs w:val="21"/>
              </w:rPr>
              <w:t xml:space="preserve">           ）</w:t>
            </w:r>
          </w:p>
        </w:tc>
        <w:tc>
          <w:tcPr>
            <w:tcW w:w="728"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15</w:t>
            </w:r>
          </w:p>
        </w:tc>
        <w:tc>
          <w:tcPr>
            <w:tcW w:w="649" w:type="dxa"/>
            <w:vAlign w:val="center"/>
          </w:tcPr>
          <w:p w:rsidR="00882F74" w:rsidRDefault="00882F74">
            <w:pPr>
              <w:widowControl/>
              <w:spacing w:line="260" w:lineRule="exact"/>
              <w:jc w:val="center"/>
              <w:rPr>
                <w:rFonts w:ascii="仿宋_GB2312" w:eastAsia="仿宋_GB2312" w:hAnsi="仿宋_GB2312" w:cs="仿宋_GB2312"/>
                <w:b/>
                <w:bCs/>
                <w:color w:val="000000"/>
                <w:kern w:val="0"/>
                <w:szCs w:val="21"/>
              </w:rPr>
            </w:pPr>
          </w:p>
        </w:tc>
        <w:tc>
          <w:tcPr>
            <w:tcW w:w="721" w:type="dxa"/>
            <w:vAlign w:val="center"/>
          </w:tcPr>
          <w:p w:rsidR="00882F74" w:rsidRDefault="00882F74">
            <w:pPr>
              <w:widowControl/>
              <w:spacing w:line="260" w:lineRule="exact"/>
              <w:rPr>
                <w:rFonts w:ascii="仿宋_GB2312" w:eastAsia="仿宋_GB2312" w:hAnsi="仿宋_GB2312" w:cs="仿宋_GB2312"/>
                <w:b/>
                <w:bCs/>
                <w:color w:val="000000"/>
                <w:kern w:val="0"/>
                <w:szCs w:val="21"/>
              </w:rPr>
            </w:pPr>
          </w:p>
        </w:tc>
      </w:tr>
      <w:tr w:rsidR="00882F74">
        <w:trPr>
          <w:trHeight w:val="1134"/>
        </w:trPr>
        <w:tc>
          <w:tcPr>
            <w:tcW w:w="1200"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制度建设</w:t>
            </w:r>
          </w:p>
        </w:tc>
        <w:tc>
          <w:tcPr>
            <w:tcW w:w="661"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w:t>
            </w:r>
          </w:p>
        </w:tc>
        <w:tc>
          <w:tcPr>
            <w:tcW w:w="1974" w:type="dxa"/>
            <w:vAlign w:val="center"/>
          </w:tcPr>
          <w:p w:rsidR="00882F74" w:rsidRDefault="00FD6F08">
            <w:pPr>
              <w:widowControl/>
              <w:spacing w:line="26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建立生物安全管理制度</w:t>
            </w:r>
          </w:p>
        </w:tc>
        <w:tc>
          <w:tcPr>
            <w:tcW w:w="3044" w:type="dxa"/>
            <w:gridSpan w:val="3"/>
            <w:vAlign w:val="center"/>
          </w:tcPr>
          <w:p w:rsidR="00882F74" w:rsidRDefault="00FD6F08">
            <w:pPr>
              <w:widowControl/>
              <w:spacing w:line="26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对拟（已）建立的生物安全管理制度的科学性、可操作性以及运行效果进行综合评估给分。</w:t>
            </w:r>
          </w:p>
        </w:tc>
        <w:tc>
          <w:tcPr>
            <w:tcW w:w="728" w:type="dxa"/>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10</w:t>
            </w:r>
          </w:p>
        </w:tc>
        <w:tc>
          <w:tcPr>
            <w:tcW w:w="649" w:type="dxa"/>
            <w:vAlign w:val="center"/>
          </w:tcPr>
          <w:p w:rsidR="00882F74" w:rsidRDefault="00882F74">
            <w:pPr>
              <w:widowControl/>
              <w:spacing w:line="260" w:lineRule="exact"/>
              <w:jc w:val="center"/>
              <w:rPr>
                <w:rFonts w:ascii="仿宋_GB2312" w:eastAsia="仿宋_GB2312" w:hAnsi="仿宋_GB2312" w:cs="仿宋_GB2312"/>
                <w:b/>
                <w:bCs/>
                <w:color w:val="000000"/>
                <w:kern w:val="0"/>
                <w:szCs w:val="21"/>
              </w:rPr>
            </w:pPr>
          </w:p>
        </w:tc>
        <w:tc>
          <w:tcPr>
            <w:tcW w:w="721" w:type="dxa"/>
            <w:vAlign w:val="center"/>
          </w:tcPr>
          <w:p w:rsidR="00882F74" w:rsidRDefault="00882F74">
            <w:pPr>
              <w:widowControl/>
              <w:spacing w:line="260" w:lineRule="exact"/>
              <w:rPr>
                <w:rFonts w:ascii="仿宋_GB2312" w:eastAsia="仿宋_GB2312" w:hAnsi="仿宋_GB2312" w:cs="仿宋_GB2312"/>
                <w:b/>
                <w:bCs/>
                <w:color w:val="000000"/>
                <w:kern w:val="0"/>
                <w:szCs w:val="21"/>
              </w:rPr>
            </w:pPr>
          </w:p>
        </w:tc>
      </w:tr>
      <w:tr w:rsidR="00882F74">
        <w:trPr>
          <w:trHeight w:val="495"/>
        </w:trPr>
        <w:tc>
          <w:tcPr>
            <w:tcW w:w="6879" w:type="dxa"/>
            <w:gridSpan w:val="6"/>
            <w:vAlign w:val="center"/>
          </w:tcPr>
          <w:p w:rsidR="00882F74" w:rsidRDefault="00FD6F08">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合  计</w:t>
            </w:r>
          </w:p>
        </w:tc>
        <w:tc>
          <w:tcPr>
            <w:tcW w:w="728" w:type="dxa"/>
            <w:vAlign w:val="center"/>
          </w:tcPr>
          <w:p w:rsidR="00882F74" w:rsidRDefault="00FE1B16">
            <w:pPr>
              <w:widowControl/>
              <w:spacing w:line="26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fldChar w:fldCharType="begin"/>
            </w:r>
            <w:r w:rsidR="00FD6F08">
              <w:rPr>
                <w:rFonts w:ascii="仿宋_GB2312" w:eastAsia="仿宋_GB2312" w:hAnsi="仿宋_GB2312" w:cs="仿宋_GB2312" w:hint="eastAsia"/>
                <w:color w:val="000000"/>
                <w:kern w:val="0"/>
                <w:szCs w:val="21"/>
              </w:rPr>
              <w:instrText xml:space="preserve"> =SUM(ABOVE) \* MERGEFORMAT </w:instrText>
            </w:r>
            <w:r>
              <w:rPr>
                <w:rFonts w:ascii="仿宋_GB2312" w:eastAsia="仿宋_GB2312" w:hAnsi="仿宋_GB2312" w:cs="仿宋_GB2312" w:hint="eastAsia"/>
                <w:color w:val="000000"/>
                <w:kern w:val="0"/>
                <w:szCs w:val="21"/>
              </w:rPr>
              <w:fldChar w:fldCharType="separate"/>
            </w:r>
            <w:r w:rsidR="00FD6F08">
              <w:rPr>
                <w:rFonts w:ascii="仿宋_GB2312" w:eastAsia="仿宋_GB2312" w:hAnsi="仿宋_GB2312" w:cs="仿宋_GB2312" w:hint="eastAsia"/>
                <w:color w:val="000000"/>
                <w:kern w:val="0"/>
                <w:szCs w:val="21"/>
              </w:rPr>
              <w:t>100</w:t>
            </w:r>
            <w:r>
              <w:rPr>
                <w:rFonts w:ascii="仿宋_GB2312" w:eastAsia="仿宋_GB2312" w:hAnsi="仿宋_GB2312" w:cs="仿宋_GB2312" w:hint="eastAsia"/>
                <w:color w:val="000000"/>
                <w:kern w:val="0"/>
                <w:szCs w:val="21"/>
              </w:rPr>
              <w:fldChar w:fldCharType="end"/>
            </w:r>
          </w:p>
        </w:tc>
        <w:tc>
          <w:tcPr>
            <w:tcW w:w="649" w:type="dxa"/>
            <w:vAlign w:val="center"/>
          </w:tcPr>
          <w:p w:rsidR="00882F74" w:rsidRDefault="00882F74">
            <w:pPr>
              <w:widowControl/>
              <w:spacing w:line="260" w:lineRule="exact"/>
              <w:jc w:val="center"/>
              <w:rPr>
                <w:rFonts w:ascii="仿宋_GB2312" w:eastAsia="仿宋_GB2312" w:hAnsi="仿宋_GB2312" w:cs="仿宋_GB2312"/>
                <w:b/>
                <w:bCs/>
                <w:color w:val="000000"/>
                <w:kern w:val="0"/>
                <w:szCs w:val="21"/>
              </w:rPr>
            </w:pPr>
          </w:p>
        </w:tc>
        <w:tc>
          <w:tcPr>
            <w:tcW w:w="721" w:type="dxa"/>
            <w:vAlign w:val="center"/>
          </w:tcPr>
          <w:p w:rsidR="00882F74" w:rsidRDefault="00882F74">
            <w:pPr>
              <w:widowControl/>
              <w:spacing w:line="260" w:lineRule="exact"/>
              <w:rPr>
                <w:rFonts w:ascii="仿宋_GB2312" w:eastAsia="仿宋_GB2312" w:hAnsi="仿宋_GB2312" w:cs="仿宋_GB2312"/>
                <w:b/>
                <w:bCs/>
                <w:color w:val="000000"/>
                <w:kern w:val="0"/>
                <w:szCs w:val="21"/>
              </w:rPr>
            </w:pPr>
          </w:p>
        </w:tc>
      </w:tr>
      <w:tr w:rsidR="00882F74">
        <w:trPr>
          <w:trHeight w:val="1880"/>
        </w:trPr>
        <w:tc>
          <w:tcPr>
            <w:tcW w:w="1200" w:type="dxa"/>
            <w:vAlign w:val="center"/>
          </w:tcPr>
          <w:p w:rsidR="00882F74" w:rsidRDefault="00FD6F08">
            <w:pPr>
              <w:widowControl/>
              <w:spacing w:line="26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评估结果</w:t>
            </w:r>
          </w:p>
        </w:tc>
        <w:tc>
          <w:tcPr>
            <w:tcW w:w="7777" w:type="dxa"/>
            <w:gridSpan w:val="8"/>
            <w:vAlign w:val="center"/>
          </w:tcPr>
          <w:p w:rsidR="00882F74" w:rsidRDefault="00FD6F08">
            <w:pPr>
              <w:widowControl/>
              <w:spacing w:line="32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 通过动物防疫选址距离评估。</w:t>
            </w:r>
          </w:p>
          <w:p w:rsidR="00882F74" w:rsidRDefault="00FD6F08">
            <w:pPr>
              <w:widowControl/>
              <w:spacing w:line="32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 未通过动物防疫选址距离评估。原因：</w:t>
            </w:r>
          </w:p>
          <w:p w:rsidR="00882F74" w:rsidRDefault="00882F74">
            <w:pPr>
              <w:spacing w:line="320" w:lineRule="exact"/>
              <w:rPr>
                <w:rFonts w:ascii="仿宋_GB2312" w:eastAsia="仿宋_GB2312" w:hAnsi="仿宋_GB2312" w:cs="仿宋_GB2312"/>
                <w:szCs w:val="21"/>
              </w:rPr>
            </w:pPr>
          </w:p>
          <w:p w:rsidR="00882F74" w:rsidRDefault="00882F74">
            <w:pPr>
              <w:spacing w:line="320" w:lineRule="exact"/>
              <w:rPr>
                <w:rFonts w:ascii="仿宋_GB2312" w:eastAsia="仿宋_GB2312" w:hAnsi="仿宋_GB2312" w:cs="仿宋_GB2312"/>
                <w:szCs w:val="21"/>
              </w:rPr>
            </w:pPr>
          </w:p>
          <w:p w:rsidR="00882F74" w:rsidRDefault="00FD6F08">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评估专家组</w:t>
            </w:r>
            <w:r>
              <w:rPr>
                <w:rFonts w:ascii="仿宋_GB2312" w:eastAsia="仿宋_GB2312" w:hAnsi="仿宋_GB2312" w:cs="仿宋_GB2312" w:hint="eastAsia"/>
                <w:kern w:val="0"/>
                <w:szCs w:val="21"/>
              </w:rPr>
              <w:t>签名</w:t>
            </w:r>
            <w:r>
              <w:rPr>
                <w:rFonts w:ascii="仿宋_GB2312" w:eastAsia="仿宋_GB2312" w:hAnsi="仿宋_GB2312" w:cs="仿宋_GB2312" w:hint="eastAsia"/>
                <w:szCs w:val="21"/>
              </w:rPr>
              <w:t xml:space="preserve"> 组长：                  成员：</w:t>
            </w:r>
          </w:p>
          <w:p w:rsidR="00882F74" w:rsidRDefault="00FD6F08">
            <w:pPr>
              <w:widowControl/>
              <w:spacing w:line="260" w:lineRule="exact"/>
              <w:ind w:firstLineChars="2800" w:firstLine="5880"/>
              <w:rPr>
                <w:rFonts w:ascii="仿宋_GB2312" w:eastAsia="仿宋_GB2312" w:hAnsi="仿宋_GB2312" w:cs="仿宋_GB2312"/>
                <w:b/>
                <w:bCs/>
                <w:color w:val="000000"/>
                <w:kern w:val="0"/>
                <w:szCs w:val="21"/>
              </w:rPr>
            </w:pPr>
            <w:r>
              <w:rPr>
                <w:rFonts w:ascii="仿宋_GB2312" w:eastAsia="仿宋_GB2312" w:hAnsi="仿宋_GB2312" w:cs="仿宋_GB2312" w:hint="eastAsia"/>
                <w:szCs w:val="21"/>
              </w:rPr>
              <w:t>年    月    日</w:t>
            </w:r>
          </w:p>
        </w:tc>
      </w:tr>
      <w:tr w:rsidR="00882F74">
        <w:trPr>
          <w:trHeight w:val="1864"/>
        </w:trPr>
        <w:tc>
          <w:tcPr>
            <w:tcW w:w="1200" w:type="dxa"/>
            <w:vAlign w:val="center"/>
          </w:tcPr>
          <w:p w:rsidR="00882F74" w:rsidRDefault="00FD6F08">
            <w:pPr>
              <w:widowControl/>
              <w:spacing w:line="32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整改建议</w:t>
            </w:r>
          </w:p>
        </w:tc>
        <w:tc>
          <w:tcPr>
            <w:tcW w:w="7777" w:type="dxa"/>
            <w:gridSpan w:val="8"/>
            <w:vAlign w:val="center"/>
          </w:tcPr>
          <w:p w:rsidR="00882F74" w:rsidRDefault="00882F74">
            <w:pPr>
              <w:spacing w:line="320" w:lineRule="exact"/>
              <w:jc w:val="center"/>
              <w:rPr>
                <w:rFonts w:ascii="仿宋_GB2312" w:eastAsia="仿宋_GB2312" w:hAnsi="仿宋_GB2312" w:cs="仿宋_GB2312"/>
                <w:szCs w:val="21"/>
              </w:rPr>
            </w:pPr>
          </w:p>
          <w:p w:rsidR="00882F74" w:rsidRDefault="00882F74">
            <w:pPr>
              <w:spacing w:line="320" w:lineRule="exact"/>
              <w:jc w:val="center"/>
              <w:rPr>
                <w:rFonts w:ascii="仿宋_GB2312" w:eastAsia="仿宋_GB2312" w:hAnsi="仿宋_GB2312" w:cs="仿宋_GB2312"/>
                <w:szCs w:val="21"/>
              </w:rPr>
            </w:pPr>
          </w:p>
          <w:p w:rsidR="00882F74" w:rsidRDefault="00882F74">
            <w:pPr>
              <w:spacing w:line="320" w:lineRule="exact"/>
              <w:jc w:val="center"/>
              <w:rPr>
                <w:rFonts w:ascii="仿宋_GB2312" w:eastAsia="仿宋_GB2312" w:hAnsi="仿宋_GB2312" w:cs="仿宋_GB2312"/>
                <w:szCs w:val="21"/>
              </w:rPr>
            </w:pPr>
          </w:p>
          <w:p w:rsidR="00882F74" w:rsidRDefault="00FD6F08">
            <w:pPr>
              <w:spacing w:line="3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szCs w:val="21"/>
              </w:rPr>
              <w:t xml:space="preserve">                                            年     月     日</w:t>
            </w:r>
          </w:p>
        </w:tc>
      </w:tr>
    </w:tbl>
    <w:p w:rsidR="00882F74" w:rsidRDefault="00FD6F08">
      <w:pPr>
        <w:spacing w:line="32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备注：1．综合得分为各评估项目得分之和，评审专家根据评估项目各自评定，最终得分取平均分。</w:t>
      </w:r>
    </w:p>
    <w:p w:rsidR="00882F74" w:rsidRDefault="00FD6F08">
      <w:pPr>
        <w:spacing w:line="32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2.综合评估分值在75分以上(含75分)且第3项评估得分在17分以上的,评估结论为“符合动物防疫选址条件”。</w:t>
      </w:r>
    </w:p>
    <w:p w:rsidR="00882F74" w:rsidRDefault="00FD6F08">
      <w:pPr>
        <w:spacing w:line="320" w:lineRule="exact"/>
        <w:rPr>
          <w:rFonts w:ascii="仿宋_GB2312" w:eastAsia="仿宋_GB2312"/>
          <w:sz w:val="32"/>
          <w:szCs w:val="32"/>
        </w:rPr>
      </w:pPr>
      <w:r>
        <w:rPr>
          <w:rFonts w:ascii="仿宋_GB2312" w:eastAsia="仿宋_GB2312" w:hAnsi="仿宋_GB2312" w:cs="仿宋_GB2312" w:hint="eastAsia"/>
          <w:szCs w:val="21"/>
        </w:rPr>
        <w:t xml:space="preserve">    3．第2、3、5、6项在建设完成前采用承诺方式评分，专家组当面征询被评估单位负责人员是否承诺场所建设后能达到评分细则的要求，承诺的，给予计分；不承诺的，不予计分。被评估单位负责人员同时在评分细则栏进行承诺签名。若场所建成后达不到评估得分要求的，不予审查办理《动物防疫条件合格证》。</w:t>
      </w:r>
    </w:p>
    <w:sectPr w:rsidR="00882F74" w:rsidSect="00882F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889" w:rsidRDefault="00B76889" w:rsidP="00882F74">
      <w:r>
        <w:separator/>
      </w:r>
    </w:p>
  </w:endnote>
  <w:endnote w:type="continuationSeparator" w:id="0">
    <w:p w:rsidR="00B76889" w:rsidRDefault="00B76889" w:rsidP="00882F7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0446"/>
      <w:docPartObj>
        <w:docPartGallery w:val="AutoText"/>
      </w:docPartObj>
    </w:sdtPr>
    <w:sdtContent>
      <w:p w:rsidR="00882F74" w:rsidRDefault="00FE1B16">
        <w:pPr>
          <w:pStyle w:val="a5"/>
        </w:pPr>
        <w:r>
          <w:fldChar w:fldCharType="begin"/>
        </w:r>
        <w:r w:rsidR="00FD6F08">
          <w:instrText xml:space="preserve"> PAGE   \* MERGEFORMAT </w:instrText>
        </w:r>
        <w:r>
          <w:fldChar w:fldCharType="separate"/>
        </w:r>
        <w:r w:rsidR="00735DAC" w:rsidRPr="00735DAC">
          <w:rPr>
            <w:noProof/>
            <w:lang w:val="zh-CN"/>
          </w:rPr>
          <w:t>-</w:t>
        </w:r>
        <w:r w:rsidR="00735DAC">
          <w:rPr>
            <w:noProof/>
          </w:rPr>
          <w:t xml:space="preserve"> 7 -</w:t>
        </w:r>
        <w:r>
          <w:fldChar w:fldCharType="end"/>
        </w:r>
      </w:p>
    </w:sdtContent>
  </w:sdt>
  <w:p w:rsidR="00882F74" w:rsidRDefault="00882F7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74" w:rsidRDefault="00882F7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889" w:rsidRDefault="00B76889" w:rsidP="00882F74">
      <w:r>
        <w:separator/>
      </w:r>
    </w:p>
  </w:footnote>
  <w:footnote w:type="continuationSeparator" w:id="0">
    <w:p w:rsidR="00B76889" w:rsidRDefault="00B76889" w:rsidP="00882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74" w:rsidRDefault="00882F74">
    <w:pPr>
      <w:pStyle w:val="a6"/>
      <w:pBdr>
        <w:bottom w:val="none" w:sz="0" w:space="1"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辉">
    <w15:presenceInfo w15:providerId="None" w15:userId="李辉"/>
  </w15:person>
  <w15:person w15:author="青青 罗">
    <w15:presenceInfo w15:providerId="Windows Live" w15:userId="4c332fbb034c27f7"/>
  </w15:person>
  <w15:person w15:author="qinghua">
    <w15:presenceInfo w15:providerId="None" w15:userId="qinghu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5F3A"/>
    <w:rsid w:val="FEBA960B"/>
    <w:rsid w:val="00010643"/>
    <w:rsid w:val="000508F7"/>
    <w:rsid w:val="00053DE1"/>
    <w:rsid w:val="00080A0C"/>
    <w:rsid w:val="000A1308"/>
    <w:rsid w:val="000F2190"/>
    <w:rsid w:val="00107896"/>
    <w:rsid w:val="00136AEA"/>
    <w:rsid w:val="00164084"/>
    <w:rsid w:val="001A0311"/>
    <w:rsid w:val="001A14BE"/>
    <w:rsid w:val="001A7DB0"/>
    <w:rsid w:val="001F5FD5"/>
    <w:rsid w:val="00266BF4"/>
    <w:rsid w:val="002818C2"/>
    <w:rsid w:val="002A213A"/>
    <w:rsid w:val="002C722E"/>
    <w:rsid w:val="002E754D"/>
    <w:rsid w:val="002F0A64"/>
    <w:rsid w:val="002F5330"/>
    <w:rsid w:val="002F5695"/>
    <w:rsid w:val="00322190"/>
    <w:rsid w:val="00325782"/>
    <w:rsid w:val="0033127A"/>
    <w:rsid w:val="003334DA"/>
    <w:rsid w:val="00335FBC"/>
    <w:rsid w:val="00342514"/>
    <w:rsid w:val="00344D8E"/>
    <w:rsid w:val="0035474E"/>
    <w:rsid w:val="00374A20"/>
    <w:rsid w:val="003858F0"/>
    <w:rsid w:val="003D13A9"/>
    <w:rsid w:val="003D2024"/>
    <w:rsid w:val="003D7843"/>
    <w:rsid w:val="003E5DE6"/>
    <w:rsid w:val="003F1170"/>
    <w:rsid w:val="00402E65"/>
    <w:rsid w:val="00421A2D"/>
    <w:rsid w:val="004308E5"/>
    <w:rsid w:val="004A7F57"/>
    <w:rsid w:val="004E2A7B"/>
    <w:rsid w:val="00551BEF"/>
    <w:rsid w:val="005642B2"/>
    <w:rsid w:val="005947EC"/>
    <w:rsid w:val="005C1BD8"/>
    <w:rsid w:val="005F2A1E"/>
    <w:rsid w:val="0062014A"/>
    <w:rsid w:val="006336F5"/>
    <w:rsid w:val="00677957"/>
    <w:rsid w:val="00696AFC"/>
    <w:rsid w:val="006A2D10"/>
    <w:rsid w:val="006B30F8"/>
    <w:rsid w:val="006B5187"/>
    <w:rsid w:val="006C03BC"/>
    <w:rsid w:val="006C4F28"/>
    <w:rsid w:val="006D247F"/>
    <w:rsid w:val="006E265F"/>
    <w:rsid w:val="006F1419"/>
    <w:rsid w:val="00735DAC"/>
    <w:rsid w:val="007605B3"/>
    <w:rsid w:val="00772F72"/>
    <w:rsid w:val="00882F74"/>
    <w:rsid w:val="00885EAA"/>
    <w:rsid w:val="008A1BF0"/>
    <w:rsid w:val="008B67BC"/>
    <w:rsid w:val="008C10D2"/>
    <w:rsid w:val="008C7C44"/>
    <w:rsid w:val="008E5378"/>
    <w:rsid w:val="008E70B7"/>
    <w:rsid w:val="008E70E2"/>
    <w:rsid w:val="00914C4F"/>
    <w:rsid w:val="0092536F"/>
    <w:rsid w:val="00947CD6"/>
    <w:rsid w:val="0097774D"/>
    <w:rsid w:val="00983DD2"/>
    <w:rsid w:val="009E0D7C"/>
    <w:rsid w:val="009E2923"/>
    <w:rsid w:val="009F02D8"/>
    <w:rsid w:val="00A02B70"/>
    <w:rsid w:val="00A03138"/>
    <w:rsid w:val="00A268E3"/>
    <w:rsid w:val="00A33486"/>
    <w:rsid w:val="00A40B52"/>
    <w:rsid w:val="00A65AC9"/>
    <w:rsid w:val="00A75277"/>
    <w:rsid w:val="00AF11A5"/>
    <w:rsid w:val="00AF535E"/>
    <w:rsid w:val="00AF58A7"/>
    <w:rsid w:val="00B02DD7"/>
    <w:rsid w:val="00B23643"/>
    <w:rsid w:val="00B32259"/>
    <w:rsid w:val="00B76889"/>
    <w:rsid w:val="00BB1C14"/>
    <w:rsid w:val="00BC5F3A"/>
    <w:rsid w:val="00BF73BC"/>
    <w:rsid w:val="00C270E3"/>
    <w:rsid w:val="00C328AB"/>
    <w:rsid w:val="00C6018C"/>
    <w:rsid w:val="00C65F4F"/>
    <w:rsid w:val="00C80C9D"/>
    <w:rsid w:val="00C82BD5"/>
    <w:rsid w:val="00C939D2"/>
    <w:rsid w:val="00C94CA4"/>
    <w:rsid w:val="00CD4EDA"/>
    <w:rsid w:val="00D13A36"/>
    <w:rsid w:val="00D14DB4"/>
    <w:rsid w:val="00D626A3"/>
    <w:rsid w:val="00D710C8"/>
    <w:rsid w:val="00D86060"/>
    <w:rsid w:val="00DA21A6"/>
    <w:rsid w:val="00DF2EB1"/>
    <w:rsid w:val="00DF5167"/>
    <w:rsid w:val="00E07B98"/>
    <w:rsid w:val="00E720F0"/>
    <w:rsid w:val="00E86F9A"/>
    <w:rsid w:val="00EF38E9"/>
    <w:rsid w:val="00F3604F"/>
    <w:rsid w:val="00F3665F"/>
    <w:rsid w:val="00F41D16"/>
    <w:rsid w:val="00F76F30"/>
    <w:rsid w:val="00FA5FA1"/>
    <w:rsid w:val="00FD26C6"/>
    <w:rsid w:val="00FD6F08"/>
    <w:rsid w:val="00FE1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F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82F74"/>
    <w:pPr>
      <w:adjustRightInd w:val="0"/>
      <w:spacing w:line="360" w:lineRule="auto"/>
      <w:ind w:firstLine="420"/>
      <w:textAlignment w:val="baseline"/>
    </w:pPr>
    <w:rPr>
      <w:rFonts w:ascii="Calibri" w:eastAsia="仿宋_GB2312" w:hAnsi="Calibri" w:cs="Times New Roman"/>
      <w:snapToGrid w:val="0"/>
      <w:kern w:val="0"/>
      <w:sz w:val="24"/>
      <w:szCs w:val="32"/>
    </w:rPr>
  </w:style>
  <w:style w:type="paragraph" w:styleId="a4">
    <w:name w:val="Body Text"/>
    <w:basedOn w:val="a"/>
    <w:link w:val="Char"/>
    <w:unhideWhenUsed/>
    <w:qFormat/>
    <w:rsid w:val="00882F74"/>
    <w:pPr>
      <w:spacing w:after="120"/>
    </w:pPr>
  </w:style>
  <w:style w:type="paragraph" w:styleId="a5">
    <w:name w:val="footer"/>
    <w:basedOn w:val="a"/>
    <w:link w:val="Char0"/>
    <w:uiPriority w:val="99"/>
    <w:unhideWhenUsed/>
    <w:qFormat/>
    <w:rsid w:val="00882F74"/>
    <w:pPr>
      <w:tabs>
        <w:tab w:val="center" w:pos="4153"/>
        <w:tab w:val="right" w:pos="8306"/>
      </w:tabs>
      <w:snapToGrid w:val="0"/>
      <w:jc w:val="left"/>
    </w:pPr>
    <w:rPr>
      <w:sz w:val="18"/>
      <w:szCs w:val="18"/>
    </w:rPr>
  </w:style>
  <w:style w:type="paragraph" w:styleId="a6">
    <w:name w:val="header"/>
    <w:basedOn w:val="a"/>
    <w:link w:val="Char1"/>
    <w:unhideWhenUsed/>
    <w:qFormat/>
    <w:rsid w:val="00882F7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882F74"/>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4"/>
    <w:next w:val="a3"/>
    <w:link w:val="Char2"/>
    <w:qFormat/>
    <w:rsid w:val="00882F74"/>
    <w:pPr>
      <w:widowControl/>
      <w:spacing w:after="0" w:line="276" w:lineRule="auto"/>
      <w:ind w:firstLine="420"/>
      <w:textAlignment w:val="baseline"/>
    </w:pPr>
    <w:rPr>
      <w:rFonts w:ascii="Times New Roman" w:eastAsia="宋体" w:hAnsi="Times New Roman" w:cs="Times New Roman" w:hint="eastAsia"/>
      <w:sz w:val="32"/>
      <w:szCs w:val="24"/>
    </w:rPr>
  </w:style>
  <w:style w:type="character" w:styleId="a9">
    <w:name w:val="Strong"/>
    <w:basedOn w:val="a0"/>
    <w:uiPriority w:val="22"/>
    <w:qFormat/>
    <w:rsid w:val="00882F74"/>
    <w:rPr>
      <w:b/>
      <w:bCs/>
    </w:rPr>
  </w:style>
  <w:style w:type="character" w:customStyle="1" w:styleId="Char1">
    <w:name w:val="页眉 Char"/>
    <w:basedOn w:val="a0"/>
    <w:link w:val="a6"/>
    <w:uiPriority w:val="99"/>
    <w:semiHidden/>
    <w:qFormat/>
    <w:rsid w:val="00882F74"/>
    <w:rPr>
      <w:sz w:val="18"/>
      <w:szCs w:val="18"/>
    </w:rPr>
  </w:style>
  <w:style w:type="character" w:customStyle="1" w:styleId="Char0">
    <w:name w:val="页脚 Char"/>
    <w:basedOn w:val="a0"/>
    <w:link w:val="a5"/>
    <w:uiPriority w:val="99"/>
    <w:qFormat/>
    <w:rsid w:val="00882F74"/>
    <w:rPr>
      <w:sz w:val="18"/>
      <w:szCs w:val="18"/>
    </w:rPr>
  </w:style>
  <w:style w:type="character" w:customStyle="1" w:styleId="Char">
    <w:name w:val="正文文本 Char"/>
    <w:basedOn w:val="a0"/>
    <w:link w:val="a4"/>
    <w:uiPriority w:val="99"/>
    <w:semiHidden/>
    <w:qFormat/>
    <w:rsid w:val="00882F74"/>
  </w:style>
  <w:style w:type="character" w:customStyle="1" w:styleId="Char2">
    <w:name w:val="正文首行缩进 Char"/>
    <w:basedOn w:val="Char"/>
    <w:link w:val="a8"/>
    <w:qFormat/>
    <w:rsid w:val="00882F74"/>
    <w:rPr>
      <w:rFonts w:ascii="Times New Roman" w:eastAsia="宋体" w:hAnsi="Times New Roman" w:cs="Times New Roman"/>
      <w:sz w:val="32"/>
      <w:szCs w:val="24"/>
    </w:rPr>
  </w:style>
  <w:style w:type="paragraph" w:customStyle="1" w:styleId="1">
    <w:name w:val="修订1"/>
    <w:hidden/>
    <w:uiPriority w:val="99"/>
    <w:semiHidden/>
    <w:qFormat/>
    <w:rsid w:val="00882F74"/>
    <w:rPr>
      <w:kern w:val="2"/>
      <w:sz w:val="21"/>
      <w:szCs w:val="22"/>
    </w:rPr>
  </w:style>
  <w:style w:type="paragraph" w:styleId="aa">
    <w:name w:val="Balloon Text"/>
    <w:basedOn w:val="a"/>
    <w:link w:val="Char3"/>
    <w:uiPriority w:val="99"/>
    <w:semiHidden/>
    <w:unhideWhenUsed/>
    <w:rsid w:val="00F41D16"/>
    <w:rPr>
      <w:sz w:val="18"/>
      <w:szCs w:val="18"/>
    </w:rPr>
  </w:style>
  <w:style w:type="character" w:customStyle="1" w:styleId="Char3">
    <w:name w:val="批注框文本 Char"/>
    <w:basedOn w:val="a0"/>
    <w:link w:val="aa"/>
    <w:uiPriority w:val="99"/>
    <w:semiHidden/>
    <w:rsid w:val="00F41D1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xmjlh</dc:creator>
  <cp:lastModifiedBy>李辉</cp:lastModifiedBy>
  <cp:revision>4</cp:revision>
  <cp:lastPrinted>2024-05-22T14:15:00Z</cp:lastPrinted>
  <dcterms:created xsi:type="dcterms:W3CDTF">2024-06-07T03:32:00Z</dcterms:created>
  <dcterms:modified xsi:type="dcterms:W3CDTF">2024-06-07T04:49:00Z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9D3E55EA8C5354D4377B6266F015ECC5</vt:lpwstr>
  </property>
</Properties>
</file>