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BF1" w:rsidRDefault="00CC5BF1" w:rsidP="00CC5BF1">
      <w:pPr>
        <w:rPr>
          <w:rFonts w:ascii="SimHei" w:eastAsia="SimHei" w:hAnsi="SimHei" w:cs="仿宋" w:hint="eastAsia"/>
          <w:sz w:val="32"/>
          <w:szCs w:val="32"/>
        </w:rPr>
      </w:pPr>
      <w:r w:rsidRPr="00B11865">
        <w:rPr>
          <w:rFonts w:ascii="SimHei" w:eastAsia="SimHei" w:hAnsi="SimHei" w:cs="仿宋" w:hint="eastAsia"/>
          <w:sz w:val="32"/>
          <w:szCs w:val="32"/>
        </w:rPr>
        <w:t>附件</w:t>
      </w:r>
      <w:r w:rsidRPr="00B11865">
        <w:rPr>
          <w:rFonts w:ascii="SimHei" w:eastAsia="SimHei" w:hAnsi="SimHei" w:cs="仿宋"/>
          <w:sz w:val="32"/>
          <w:szCs w:val="32"/>
        </w:rPr>
        <w:t>1</w:t>
      </w:r>
    </w:p>
    <w:p w:rsidR="00CC5BF1" w:rsidRPr="00B11865" w:rsidRDefault="00CC5BF1" w:rsidP="00CC5BF1">
      <w:pPr>
        <w:rPr>
          <w:rFonts w:ascii="SimHei" w:eastAsia="SimHei" w:hAnsi="SimHei" w:cs="仿宋" w:hint="eastAsia"/>
          <w:sz w:val="32"/>
          <w:szCs w:val="32"/>
        </w:rPr>
      </w:pPr>
    </w:p>
    <w:p w:rsidR="00CC5BF1" w:rsidRDefault="00CC5BF1" w:rsidP="00CC5BF1">
      <w:pPr>
        <w:spacing w:line="600" w:lineRule="exact"/>
        <w:jc w:val="center"/>
        <w:rPr>
          <w:rFonts w:ascii="方正小标宋简体" w:eastAsia="方正小标宋简体" w:hAnsi="SimHei"/>
          <w:sz w:val="44"/>
          <w:szCs w:val="44"/>
        </w:rPr>
      </w:pPr>
      <w:r>
        <w:rPr>
          <w:rFonts w:ascii="方正小标宋简体" w:eastAsia="方正小标宋简体" w:hAnsi="SimHei" w:hint="eastAsia"/>
          <w:sz w:val="44"/>
          <w:szCs w:val="44"/>
        </w:rPr>
        <w:t>遴选标准</w:t>
      </w:r>
    </w:p>
    <w:p w:rsidR="00CC5BF1" w:rsidRDefault="00CC5BF1" w:rsidP="00CC5BF1">
      <w:pPr>
        <w:rPr>
          <w:rFonts w:ascii="仿宋" w:eastAsia="仿宋" w:hAnsi="仿宋" w:cs="仿宋"/>
          <w:sz w:val="32"/>
          <w:szCs w:val="32"/>
        </w:rPr>
      </w:pPr>
    </w:p>
    <w:p w:rsidR="00CC5BF1" w:rsidRDefault="00CC5BF1" w:rsidP="00CC5BF1">
      <w:pPr>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申保主体及其关联方信用良好，不存在逾期、欠息等情形，如当前存量贷款或对外担保存在逾期、欠息等不良信用记录，最近</w:t>
      </w:r>
      <w:r>
        <w:rPr>
          <w:rFonts w:ascii="仿宋" w:eastAsia="仿宋" w:hAnsi="仿宋" w:cs="仿宋"/>
          <w:sz w:val="32"/>
          <w:szCs w:val="32"/>
        </w:rPr>
        <w:t>24</w:t>
      </w:r>
      <w:r>
        <w:rPr>
          <w:rFonts w:ascii="仿宋" w:eastAsia="仿宋" w:hAnsi="仿宋" w:cs="仿宋" w:hint="eastAsia"/>
          <w:sz w:val="32"/>
          <w:szCs w:val="32"/>
        </w:rPr>
        <w:t>个月内存在连续</w:t>
      </w:r>
      <w:r>
        <w:rPr>
          <w:rFonts w:ascii="仿宋" w:eastAsia="仿宋" w:hAnsi="仿宋" w:cs="仿宋"/>
          <w:sz w:val="32"/>
          <w:szCs w:val="32"/>
        </w:rPr>
        <w:t>90</w:t>
      </w:r>
      <w:r>
        <w:rPr>
          <w:rFonts w:ascii="仿宋" w:eastAsia="仿宋" w:hAnsi="仿宋" w:cs="仿宋" w:hint="eastAsia"/>
          <w:sz w:val="32"/>
          <w:szCs w:val="32"/>
        </w:rPr>
        <w:t>天以上或累计</w:t>
      </w:r>
      <w:r>
        <w:rPr>
          <w:rFonts w:ascii="仿宋" w:eastAsia="仿宋" w:hAnsi="仿宋" w:cs="仿宋"/>
          <w:sz w:val="32"/>
          <w:szCs w:val="32"/>
        </w:rPr>
        <w:t>6</w:t>
      </w:r>
      <w:r>
        <w:rPr>
          <w:rFonts w:ascii="仿宋" w:eastAsia="仿宋" w:hAnsi="仿宋" w:cs="仿宋" w:hint="eastAsia"/>
          <w:sz w:val="32"/>
          <w:szCs w:val="32"/>
        </w:rPr>
        <w:t>次以上的逾期记录，贷款五级分类存在“正常”以外的状态等。</w:t>
      </w:r>
    </w:p>
    <w:p w:rsidR="00CC5BF1" w:rsidRDefault="00CC5BF1" w:rsidP="00CC5BF1">
      <w:pPr>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养殖、加工、仓储类经营主体实际经营年限</w:t>
      </w:r>
      <w:r>
        <w:rPr>
          <w:rFonts w:ascii="仿宋" w:eastAsia="仿宋" w:hAnsi="仿宋" w:cs="仿宋"/>
          <w:sz w:val="32"/>
          <w:szCs w:val="32"/>
        </w:rPr>
        <w:t>3</w:t>
      </w:r>
      <w:r>
        <w:rPr>
          <w:rFonts w:ascii="仿宋" w:eastAsia="仿宋" w:hAnsi="仿宋" w:cs="仿宋" w:hint="eastAsia"/>
          <w:sz w:val="32"/>
          <w:szCs w:val="32"/>
        </w:rPr>
        <w:t>年以上；无害化处理类经营主体实际经营年限</w:t>
      </w:r>
      <w:r>
        <w:rPr>
          <w:rFonts w:ascii="仿宋" w:eastAsia="仿宋" w:hAnsi="仿宋" w:cs="仿宋"/>
          <w:sz w:val="32"/>
          <w:szCs w:val="32"/>
        </w:rPr>
        <w:t>2</w:t>
      </w:r>
      <w:r>
        <w:rPr>
          <w:rFonts w:ascii="仿宋" w:eastAsia="仿宋" w:hAnsi="仿宋" w:cs="仿宋" w:hint="eastAsia"/>
          <w:sz w:val="32"/>
          <w:szCs w:val="32"/>
        </w:rPr>
        <w:t>年以上。</w:t>
      </w:r>
    </w:p>
    <w:p w:rsidR="00CC5BF1" w:rsidRDefault="00CC5BF1" w:rsidP="00CC5BF1">
      <w:pPr>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申保主体及其关联方当前不存在未决涉法涉诉等不良信息，如被列为被执行人，当前涉及重大经济纠纷、合同违约等未决诉讼或当前涉及刑事案件等。</w:t>
      </w:r>
    </w:p>
    <w:p w:rsidR="00CC5BF1" w:rsidRDefault="00CC5BF1" w:rsidP="00CC5BF1">
      <w:pPr>
        <w:ind w:firstLineChars="200" w:firstLine="640"/>
        <w:rPr>
          <w:rFonts w:ascii="仿宋" w:eastAsia="仿宋" w:hAnsi="仿宋" w:cs="仿宋" w:hint="eastAsia"/>
          <w:sz w:val="32"/>
          <w:szCs w:val="32"/>
        </w:rPr>
      </w:pPr>
      <w:r>
        <w:rPr>
          <w:rFonts w:ascii="仿宋" w:eastAsia="仿宋" w:hAnsi="仿宋" w:cs="仿宋"/>
          <w:sz w:val="32"/>
          <w:szCs w:val="32"/>
        </w:rPr>
        <w:t>4.</w:t>
      </w:r>
      <w:r>
        <w:rPr>
          <w:rFonts w:ascii="仿宋" w:eastAsia="仿宋" w:hAnsi="仿宋" w:cs="仿宋" w:hint="eastAsia"/>
          <w:sz w:val="32"/>
          <w:szCs w:val="32"/>
        </w:rPr>
        <w:t>申保主体需取得符合相关政策要求或具有有权批准部门颁发的许可证、批复文件或资格认证等，如养殖类经营主体须在非禁养区内，且符合用地、环保等政策要求；屠宰行业需具备生猪定点屠宰证书等。</w:t>
      </w:r>
    </w:p>
    <w:p w:rsidR="00CC5BF1" w:rsidRDefault="00CC5BF1" w:rsidP="00CC5BF1">
      <w:pPr>
        <w:ind w:firstLineChars="200" w:firstLine="640"/>
        <w:rPr>
          <w:rFonts w:ascii="仿宋" w:eastAsia="仿宋" w:hAnsi="仿宋" w:cs="仿宋" w:hint="eastAsia"/>
          <w:sz w:val="32"/>
          <w:szCs w:val="32"/>
        </w:rPr>
      </w:pPr>
      <w:r>
        <w:rPr>
          <w:rFonts w:ascii="仿宋" w:eastAsia="仿宋" w:hAnsi="仿宋" w:cs="仿宋"/>
          <w:sz w:val="32"/>
          <w:szCs w:val="32"/>
        </w:rPr>
        <w:t>5.</w:t>
      </w:r>
      <w:r>
        <w:rPr>
          <w:rFonts w:ascii="仿宋" w:eastAsia="仿宋" w:hAnsi="仿宋" w:cs="仿宋" w:hint="eastAsia"/>
          <w:sz w:val="32"/>
          <w:szCs w:val="32"/>
        </w:rPr>
        <w:t>生猪养殖业申保主体应参加能繁母猪、育肥猪以及生猪目标价格指数保险。</w:t>
      </w:r>
    </w:p>
    <w:p w:rsidR="00CC5BF1" w:rsidRDefault="00CC5BF1" w:rsidP="00CC5BF1">
      <w:pPr>
        <w:ind w:firstLineChars="200" w:firstLine="640"/>
        <w:rPr>
          <w:rFonts w:ascii="仿宋" w:eastAsia="仿宋" w:hAnsi="仿宋" w:cs="仿宋"/>
          <w:sz w:val="32"/>
          <w:szCs w:val="32"/>
        </w:rPr>
        <w:sectPr w:rsidR="00CC5BF1" w:rsidSect="003874F1">
          <w:footerReference w:type="even" r:id="rId4"/>
          <w:footerReference w:type="default" r:id="rId5"/>
          <w:pgSz w:w="11906" w:h="16838"/>
          <w:pgMar w:top="1440" w:right="1800" w:bottom="1440" w:left="1800" w:header="851" w:footer="992" w:gutter="0"/>
          <w:pgNumType w:fmt="numberInDash"/>
          <w:cols w:space="720"/>
          <w:docGrid w:type="lines" w:linePitch="312"/>
        </w:sectPr>
      </w:pPr>
    </w:p>
    <w:p w:rsidR="004358AB" w:rsidRDefault="004358AB" w:rsidP="00CC5BF1">
      <w:pPr>
        <w:rPr>
          <w:rFonts w:hint="eastAsia"/>
        </w:rPr>
      </w:pPr>
    </w:p>
    <w:p w:rsidR="00CC5BF1" w:rsidRDefault="00CC5BF1" w:rsidP="00CC5BF1"/>
    <w:sectPr w:rsidR="00CC5BF1"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仿宋">
    <w:altName w:val="Microsoft YaHei"/>
    <w:panose1 w:val="02010609060101010101"/>
    <w:charset w:val="86"/>
    <w:family w:val="modern"/>
    <w:pitch w:val="fixed"/>
    <w:sig w:usb0="00000000" w:usb1="38CF7CFA" w:usb2="00000016" w:usb3="00000000" w:csb0="00040001" w:csb1="00000000"/>
  </w:font>
  <w:font w:name="方正小标宋简体">
    <w:altName w:val="Microsoft YaHei"/>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4F1" w:rsidRDefault="00CC5BF1" w:rsidP="003874F1">
    <w:pPr>
      <w:pStyle w:val="a5"/>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3874F1" w:rsidRDefault="00CC5BF1" w:rsidP="003874F1">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4F1" w:rsidRPr="003874F1" w:rsidRDefault="00CC5BF1" w:rsidP="00C935D5">
    <w:pPr>
      <w:pStyle w:val="a5"/>
      <w:framePr w:wrap="around" w:vAnchor="text" w:hAnchor="margin" w:xAlign="outside" w:y="1"/>
      <w:rPr>
        <w:rStyle w:val="a6"/>
        <w:rFonts w:ascii="SimSun" w:hAnsi="SimSun"/>
        <w:sz w:val="28"/>
        <w:szCs w:val="28"/>
      </w:rPr>
    </w:pPr>
    <w:r w:rsidRPr="003874F1">
      <w:rPr>
        <w:rStyle w:val="a6"/>
        <w:rFonts w:ascii="SimSun" w:hAnsi="SimSun"/>
        <w:sz w:val="28"/>
        <w:szCs w:val="28"/>
      </w:rPr>
      <w:fldChar w:fldCharType="begin"/>
    </w:r>
    <w:r w:rsidRPr="003874F1">
      <w:rPr>
        <w:rStyle w:val="a6"/>
        <w:rFonts w:ascii="SimSun" w:hAnsi="SimSun"/>
        <w:sz w:val="28"/>
        <w:szCs w:val="28"/>
      </w:rPr>
      <w:instrText xml:space="preserve">PAGE  </w:instrText>
    </w:r>
    <w:r w:rsidRPr="003874F1">
      <w:rPr>
        <w:rStyle w:val="a6"/>
        <w:rFonts w:ascii="SimSun" w:hAnsi="SimSun"/>
        <w:sz w:val="28"/>
        <w:szCs w:val="28"/>
      </w:rPr>
      <w:fldChar w:fldCharType="separate"/>
    </w:r>
    <w:r>
      <w:rPr>
        <w:rStyle w:val="a6"/>
        <w:rFonts w:ascii="SimSun" w:hAnsi="SimSun"/>
        <w:noProof/>
        <w:sz w:val="28"/>
        <w:szCs w:val="28"/>
      </w:rPr>
      <w:t>- 1 -</w:t>
    </w:r>
    <w:r w:rsidRPr="003874F1">
      <w:rPr>
        <w:rStyle w:val="a6"/>
        <w:rFonts w:ascii="SimSun" w:hAnsi="SimSun"/>
        <w:sz w:val="28"/>
        <w:szCs w:val="28"/>
      </w:rPr>
      <w:fldChar w:fldCharType="end"/>
    </w:r>
  </w:p>
  <w:p w:rsidR="00B6390C" w:rsidRDefault="00CC5BF1" w:rsidP="003874F1">
    <w:pPr>
      <w:pStyle w:val="a5"/>
      <w:ind w:right="360" w:firstLine="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CC5BF1"/>
    <w:rsid w:val="00323B43"/>
    <w:rsid w:val="003D37D8"/>
    <w:rsid w:val="00414C26"/>
    <w:rsid w:val="004358AB"/>
    <w:rsid w:val="006268E9"/>
    <w:rsid w:val="00780787"/>
    <w:rsid w:val="007E581B"/>
    <w:rsid w:val="008B7726"/>
    <w:rsid w:val="008C12AD"/>
    <w:rsid w:val="009D4DBF"/>
    <w:rsid w:val="00A54F94"/>
    <w:rsid w:val="00AF5777"/>
    <w:rsid w:val="00CC5BF1"/>
    <w:rsid w:val="00E760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BF1"/>
    <w:pPr>
      <w:widowControl w:val="0"/>
      <w:jc w:val="both"/>
    </w:pPr>
    <w:rPr>
      <w:szCs w:val="24"/>
    </w:rPr>
  </w:style>
  <w:style w:type="paragraph" w:styleId="1">
    <w:name w:val="heading 1"/>
    <w:basedOn w:val="a"/>
    <w:link w:val="1Char"/>
    <w:uiPriority w:val="9"/>
    <w:qFormat/>
    <w:locked/>
    <w:rsid w:val="00E76036"/>
    <w:pPr>
      <w:widowControl/>
      <w:spacing w:before="100" w:beforeAutospacing="1" w:after="100" w:afterAutospacing="1"/>
      <w:jc w:val="left"/>
      <w:outlineLvl w:val="0"/>
    </w:pPr>
    <w:rPr>
      <w:rFonts w:ascii="SimSun" w:hAnsi="SimSun" w:cs="SimSun"/>
      <w:b/>
      <w:bCs/>
      <w:kern w:val="36"/>
      <w:sz w:val="48"/>
      <w:szCs w:val="48"/>
    </w:rPr>
  </w:style>
  <w:style w:type="paragraph" w:styleId="2">
    <w:name w:val="heading 2"/>
    <w:basedOn w:val="a"/>
    <w:link w:val="2Char"/>
    <w:uiPriority w:val="9"/>
    <w:qFormat/>
    <w:rsid w:val="00E76036"/>
    <w:pPr>
      <w:widowControl/>
      <w:spacing w:before="100" w:beforeAutospacing="1" w:after="100" w:afterAutospacing="1"/>
      <w:jc w:val="left"/>
      <w:outlineLvl w:val="1"/>
    </w:pPr>
    <w:rPr>
      <w:rFonts w:ascii="SimSun" w:hAnsi="SimSun" w:cs="SimSu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6036"/>
    <w:pPr>
      <w:widowControl/>
      <w:adjustRightInd w:val="0"/>
      <w:snapToGrid w:val="0"/>
      <w:ind w:firstLineChars="200" w:firstLine="420"/>
      <w:jc w:val="left"/>
    </w:pPr>
    <w:rPr>
      <w:rFonts w:ascii="Tahoma" w:hAnsi="Tahoma" w:cs="Tahoma"/>
      <w:kern w:val="0"/>
      <w:sz w:val="22"/>
      <w:szCs w:val="22"/>
    </w:rPr>
  </w:style>
  <w:style w:type="character" w:customStyle="1" w:styleId="2Char">
    <w:name w:val="标题 2 Char"/>
    <w:basedOn w:val="a0"/>
    <w:link w:val="2"/>
    <w:uiPriority w:val="9"/>
    <w:rsid w:val="00E76036"/>
    <w:rPr>
      <w:rFonts w:ascii="SimSun" w:hAnsi="SimSun" w:cs="SimSun"/>
      <w:b/>
      <w:bCs/>
      <w:kern w:val="0"/>
      <w:sz w:val="36"/>
      <w:szCs w:val="36"/>
    </w:rPr>
  </w:style>
  <w:style w:type="character" w:styleId="a4">
    <w:name w:val="Strong"/>
    <w:basedOn w:val="a0"/>
    <w:uiPriority w:val="22"/>
    <w:qFormat/>
    <w:rsid w:val="00E76036"/>
    <w:rPr>
      <w:b/>
      <w:bCs/>
    </w:rPr>
  </w:style>
  <w:style w:type="character" w:customStyle="1" w:styleId="1Char">
    <w:name w:val="标题 1 Char"/>
    <w:basedOn w:val="a0"/>
    <w:link w:val="1"/>
    <w:uiPriority w:val="9"/>
    <w:rsid w:val="00E76036"/>
    <w:rPr>
      <w:rFonts w:ascii="SimSun" w:hAnsi="SimSun" w:cs="SimSun"/>
      <w:b/>
      <w:bCs/>
      <w:kern w:val="36"/>
      <w:sz w:val="48"/>
      <w:szCs w:val="48"/>
    </w:rPr>
  </w:style>
  <w:style w:type="paragraph" w:styleId="a5">
    <w:name w:val="footer"/>
    <w:basedOn w:val="a"/>
    <w:link w:val="Char"/>
    <w:rsid w:val="00CC5BF1"/>
    <w:pPr>
      <w:tabs>
        <w:tab w:val="center" w:pos="4153"/>
        <w:tab w:val="right" w:pos="8306"/>
      </w:tabs>
      <w:snapToGrid w:val="0"/>
      <w:jc w:val="left"/>
    </w:pPr>
    <w:rPr>
      <w:sz w:val="18"/>
    </w:rPr>
  </w:style>
  <w:style w:type="character" w:customStyle="1" w:styleId="Char">
    <w:name w:val="页脚 Char"/>
    <w:basedOn w:val="a0"/>
    <w:link w:val="a5"/>
    <w:rsid w:val="00CC5BF1"/>
    <w:rPr>
      <w:sz w:val="18"/>
      <w:szCs w:val="24"/>
    </w:rPr>
  </w:style>
  <w:style w:type="character" w:styleId="a6">
    <w:name w:val="page number"/>
    <w:basedOn w:val="a0"/>
    <w:rsid w:val="00CC5B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Words>
  <Characters>309</Characters>
  <Application>Microsoft Office Word</Application>
  <DocSecurity>0</DocSecurity>
  <Lines>2</Lines>
  <Paragraphs>1</Paragraphs>
  <ScaleCrop>false</ScaleCrop>
  <Company>Microsoft</Company>
  <LinksUpToDate>false</LinksUpToDate>
  <CharactersWithSpaces>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2020-02-11T09:25:00Z</dcterms:created>
  <dcterms:modified xsi:type="dcterms:W3CDTF">2020-02-11T09:27:00Z</dcterms:modified>
</cp:coreProperties>
</file>