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61" w:rsidRDefault="00464F61" w:rsidP="00464F61">
      <w:pPr>
        <w:pStyle w:val="Normalb797bdc4"/>
        <w:widowControl w:val="0"/>
        <w:tabs>
          <w:tab w:val="left" w:pos="660"/>
        </w:tabs>
        <w:spacing w:before="0" w:beforeAutospacing="0" w:after="0" w:afterAutospacing="0" w:line="240" w:lineRule="auto"/>
        <w:ind w:firstLineChars="0" w:firstLine="0"/>
        <w:jc w:val="both"/>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464F61" w:rsidRDefault="00464F61" w:rsidP="00464F61">
      <w:pPr>
        <w:pStyle w:val="Normalb797bdc4"/>
        <w:widowControl w:val="0"/>
        <w:tabs>
          <w:tab w:val="left" w:pos="660"/>
        </w:tabs>
        <w:spacing w:before="0" w:beforeAutospacing="0" w:after="0" w:afterAutospacing="0" w:line="240" w:lineRule="auto"/>
        <w:ind w:firstLineChars="0" w:firstLine="0"/>
        <w:jc w:val="both"/>
        <w:rPr>
          <w:rFonts w:ascii="黑体" w:eastAsia="黑体" w:hAnsi="黑体" w:cs="黑体"/>
          <w:sz w:val="32"/>
          <w:szCs w:val="32"/>
        </w:rPr>
      </w:pPr>
    </w:p>
    <w:p w:rsidR="00464F61" w:rsidRDefault="00464F61" w:rsidP="00464F61">
      <w:pPr>
        <w:pStyle w:val="Normalb797bdc4"/>
        <w:widowControl w:val="0"/>
        <w:spacing w:before="0" w:beforeAutospacing="0" w:after="0" w:afterAutospacing="0" w:line="640" w:lineRule="exact"/>
        <w:ind w:firstLineChars="0" w:firstLine="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山东省畜禽遗传资源保护单位保种效果</w:t>
      </w:r>
    </w:p>
    <w:p w:rsidR="00464F61" w:rsidRDefault="00464F61" w:rsidP="00377F4F">
      <w:pPr>
        <w:pStyle w:val="Normalb797bdc4"/>
        <w:widowControl w:val="0"/>
        <w:spacing w:before="0" w:beforeAutospacing="0" w:after="0" w:afterAutospacing="0" w:line="640" w:lineRule="exact"/>
        <w:ind w:firstLineChars="0" w:firstLine="0"/>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评估细则（试行）</w:t>
      </w:r>
    </w:p>
    <w:p w:rsidR="00377F4F" w:rsidRPr="00377F4F" w:rsidRDefault="00377F4F" w:rsidP="00377F4F">
      <w:pPr>
        <w:pStyle w:val="Normalb797bdc4"/>
        <w:widowControl w:val="0"/>
        <w:spacing w:before="0" w:beforeAutospacing="0" w:after="0" w:afterAutospacing="0" w:line="640" w:lineRule="exact"/>
        <w:ind w:firstLineChars="0" w:firstLine="0"/>
        <w:jc w:val="center"/>
        <w:rPr>
          <w:rFonts w:ascii="方正小标宋简体" w:eastAsia="方正小标宋简体" w:hAnsi="黑体" w:cs="黑体"/>
          <w:sz w:val="44"/>
          <w:szCs w:val="44"/>
        </w:rPr>
      </w:pP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一、根据《山东省畜禽遗传资源保种场、保护区和基因库管理办法》（下称办法）相关要求，结合年度保种效果评估及我省保种实际，制定本实施细则。</w:t>
      </w: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二、开展评估的主体为省畜牧局。评估对象主要包括享受财政补助的国家级、省级畜禽遗传资源保种场、保护区和活体基因库等保护单位。</w:t>
      </w: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三、评估中针对种畜禽生产经营许可证过期且未申请办理，或</w:t>
      </w:r>
      <w:r>
        <w:rPr>
          <w:rFonts w:ascii="Times New Roman" w:eastAsia="仿宋_GB2312" w:hAnsi="Times New Roman" w:cs="Times New Roman"/>
          <w:sz w:val="32"/>
          <w:szCs w:val="32"/>
        </w:rPr>
        <w:t>过期</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w:t>
      </w:r>
      <w:r>
        <w:rPr>
          <w:rFonts w:ascii="仿宋_GB2312" w:eastAsia="仿宋_GB2312" w:hAnsi="仿宋" w:cs="Times New Roman" w:hint="eastAsia"/>
          <w:sz w:val="32"/>
          <w:szCs w:val="32"/>
        </w:rPr>
        <w:t>月申请仍未通过的，均视为无证，直接评为“C”。</w:t>
      </w: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四、种群数量评估中，家系数比“办法”或签署的任务书中规定的家系数少的，</w:t>
      </w:r>
      <w:r>
        <w:rPr>
          <w:rFonts w:ascii="Times New Roman" w:eastAsia="仿宋_GB2312" w:hAnsi="Times New Roman" w:cs="Times New Roman" w:hint="eastAsia"/>
          <w:sz w:val="32"/>
          <w:szCs w:val="32"/>
        </w:rPr>
        <w:t>每少</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个家系扣</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分；基础母畜（禽）个体数量比规定数量每少</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，扣</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分；公畜（禽）数量每少</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，扣</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分，扣完为止。同时，种群个体</w:t>
      </w:r>
      <w:r>
        <w:rPr>
          <w:rFonts w:ascii="仿宋_GB2312" w:eastAsia="仿宋_GB2312" w:hAnsi="仿宋" w:cs="Times New Roman" w:hint="eastAsia"/>
          <w:sz w:val="32"/>
          <w:szCs w:val="32"/>
        </w:rPr>
        <w:t>数量不达标的或完不成签订任务书数量的，最终评价一律得“C”。</w:t>
      </w: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五、基础母畜（禽）个体数核定由评估人员对符合品种特征的个体逐一清查并记录，家系数核定要对符合品种特征的种公畜或公禽逐一清查并与系谱档案对照一致，记录不清晰的一律不予认可。</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lastRenderedPageBreak/>
        <w:t>六、种群质量评估要由评估组专家对保种群个体特征符合性进行确认，保</w:t>
      </w:r>
      <w:r>
        <w:rPr>
          <w:rFonts w:ascii="Times New Roman" w:eastAsia="仿宋_GB2312" w:hAnsi="Times New Roman" w:cs="Times New Roman" w:hint="eastAsia"/>
          <w:sz w:val="32"/>
          <w:szCs w:val="32"/>
        </w:rPr>
        <w:t>种群中不符合品种特征要求的个体数每超过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扣</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分，扣完为止；生长发育主要通过毛色、膘情、精神状况、生长发育情况等四个方面综合确定，以</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分、</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分、</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分予以评分。</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七、健康状况判定以有资质机构（系统内疫控机构及质检部门认定的</w:t>
      </w:r>
      <w:r>
        <w:rPr>
          <w:rFonts w:ascii="Times New Roman" w:eastAsia="仿宋_GB2312" w:hAnsi="Times New Roman" w:cs="Times New Roman" w:hint="eastAsia"/>
          <w:sz w:val="32"/>
          <w:szCs w:val="32"/>
        </w:rPr>
        <w:t>检测机构）提供的检测报告，检测疫病种类参照农业农村部发布的</w:t>
      </w:r>
      <w:bookmarkStart w:id="0" w:name="OLE_LINK8"/>
      <w:bookmarkStart w:id="1" w:name="OLE_LINK7"/>
      <w:r>
        <w:rPr>
          <w:rFonts w:ascii="Times New Roman" w:eastAsia="仿宋_GB2312" w:hAnsi="Times New Roman" w:cs="Times New Roman" w:hint="eastAsia"/>
          <w:sz w:val="32"/>
          <w:szCs w:val="32"/>
        </w:rPr>
        <w:t>《</w:t>
      </w:r>
      <w:bookmarkStart w:id="2" w:name="OLE_LINK1"/>
      <w:r>
        <w:rPr>
          <w:rFonts w:ascii="Times New Roman" w:eastAsia="仿宋_GB2312" w:hAnsi="Times New Roman" w:cs="Times New Roman" w:hint="eastAsia"/>
          <w:sz w:val="32"/>
          <w:szCs w:val="32"/>
        </w:rPr>
        <w:t>种用动物健康标准</w:t>
      </w:r>
      <w:bookmarkEnd w:id="2"/>
      <w:r>
        <w:rPr>
          <w:rFonts w:ascii="Times New Roman" w:eastAsia="仿宋_GB2312" w:hAnsi="Times New Roman" w:cs="Times New Roman" w:hint="eastAsia"/>
          <w:sz w:val="32"/>
          <w:szCs w:val="32"/>
        </w:rPr>
        <w:t>》</w:t>
      </w:r>
      <w:bookmarkEnd w:id="0"/>
      <w:bookmarkEnd w:id="1"/>
      <w:r>
        <w:rPr>
          <w:rFonts w:ascii="Times New Roman" w:eastAsia="仿宋_GB2312" w:hAnsi="Times New Roman" w:cs="Times New Roman" w:hint="eastAsia"/>
          <w:sz w:val="32"/>
          <w:szCs w:val="32"/>
        </w:rPr>
        <w:t>执行。每半年开展一次主要疫病检测的，得</w:t>
      </w:r>
      <w:r>
        <w:rPr>
          <w:rFonts w:ascii="Times New Roman" w:eastAsia="仿宋_GB2312" w:hAnsi="Times New Roman" w:cs="Times New Roman" w:hint="eastAsia"/>
          <w:sz w:val="32"/>
          <w:szCs w:val="32"/>
        </w:rPr>
        <w:t>7-10</w:t>
      </w:r>
      <w:r>
        <w:rPr>
          <w:rFonts w:ascii="Times New Roman" w:eastAsia="仿宋_GB2312" w:hAnsi="Times New Roman" w:cs="Times New Roman" w:hint="eastAsia"/>
          <w:sz w:val="32"/>
          <w:szCs w:val="32"/>
        </w:rPr>
        <w:t>分；每年开展一次的，得</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分；超过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年及以上或自行检测的，得</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分，从未开展或不能提供检测报告的，得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分；上述情况不能涵盖的，由评定小组综合判定。</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八、畜牧兽医专业技术人员判定以具有全日制畜牧兽医大中专学历为主，兼顾相近专业，没有劳动关系的不予认定；对无上述专业毕业，但具有本行业从业</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年以上经历的，可以视同具有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名畜牧兽医专业技术人员。</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九、保种群系谱档案每缺</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份，扣</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分；</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年内配种、产犊（孵化）、消毒、免疫、疫病检测、投入品管理与使用等记录，每</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类少</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个月记录扣</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分。</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十、保种方案、各阶段饲养、繁育、测定、安全、防</w:t>
      </w:r>
      <w:r>
        <w:rPr>
          <w:rFonts w:ascii="仿宋_GB2312" w:eastAsia="仿宋_GB2312" w:hAnsi="仿宋" w:cs="Times New Roman" w:hint="eastAsia"/>
          <w:sz w:val="32"/>
          <w:szCs w:val="32"/>
        </w:rPr>
        <w:t>疫等管理制度，每</w:t>
      </w:r>
      <w:r>
        <w:rPr>
          <w:rFonts w:ascii="Times New Roman" w:eastAsia="仿宋_GB2312" w:hAnsi="Times New Roman" w:cs="Times New Roman" w:hint="eastAsia"/>
          <w:sz w:val="32"/>
          <w:szCs w:val="32"/>
        </w:rPr>
        <w:t>缺少</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项扣</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分；饲养、繁育、免疫、疫病监测净化等技术标准、规程，每缺少</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类扣</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分。</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十一、蜜蜂保种场（保护区）现场评估时，系谱、记录、</w:t>
      </w:r>
      <w:r>
        <w:rPr>
          <w:rFonts w:ascii="Times New Roman" w:eastAsia="仿宋_GB2312" w:hAnsi="Times New Roman" w:cs="Times New Roman" w:hint="eastAsia"/>
          <w:sz w:val="32"/>
          <w:szCs w:val="32"/>
        </w:rPr>
        <w:lastRenderedPageBreak/>
        <w:t>制度、技术标准（规程）等结合物种实际评估。</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十二、财务支出合理，且独立建账，得满分；未单独建账或有违规支出的，酌情扣分。</w:t>
      </w:r>
    </w:p>
    <w:p w:rsidR="00464F61" w:rsidRDefault="00464F61" w:rsidP="00464F61">
      <w:pPr>
        <w:pStyle w:val="Normalb797bdc4"/>
        <w:widowControl w:val="0"/>
        <w:tabs>
          <w:tab w:val="left" w:pos="660"/>
        </w:tabs>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十三、评估组人员针对评估表</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栏内容予以综合评估，并提出合理化建议。</w:t>
      </w: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十四、评估期间，对各保护单位补财政助资金到位、使用合规性及建账情况给出评价与建议。对出现的基建支出等不符合资金支付规定的，给企业提出整改建议，县畜牧主管部门负责督促企业整改、审核并报送整改材料至省局。</w:t>
      </w:r>
    </w:p>
    <w:p w:rsidR="00464F61" w:rsidRDefault="00464F61" w:rsidP="00464F61">
      <w:pPr>
        <w:pStyle w:val="Normalb797bdc4"/>
        <w:widowControl w:val="0"/>
        <w:tabs>
          <w:tab w:val="left" w:pos="660"/>
        </w:tabs>
        <w:spacing w:before="0" w:beforeAutospacing="0" w:after="0" w:afterAutospacing="0" w:line="60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十五、现场评估小组根据赋分给出初评等级，省局根据现场评估结果，结合资源保护监测数据及工作总结报送等情况综合评定后给出最终评定等级。</w:t>
      </w:r>
    </w:p>
    <w:p w:rsidR="00464F61" w:rsidRDefault="00464F61" w:rsidP="00464F61">
      <w:pPr>
        <w:pStyle w:val="Normalb797bdc4"/>
        <w:spacing w:before="0" w:beforeAutospacing="0" w:after="0" w:afterAutospacing="0" w:line="240" w:lineRule="auto"/>
        <w:ind w:firstLineChars="0" w:firstLine="0"/>
        <w:rPr>
          <w:rFonts w:ascii="仿宋" w:eastAsia="仿宋" w:hAnsi="仿宋" w:cs="Times New Roman"/>
          <w:sz w:val="32"/>
          <w:szCs w:val="32"/>
        </w:rPr>
      </w:pPr>
      <w:r>
        <w:rPr>
          <w:rFonts w:ascii="仿宋" w:eastAsia="仿宋" w:hAnsi="仿宋" w:cs="Times New Roman"/>
          <w:sz w:val="32"/>
          <w:szCs w:val="32"/>
        </w:rPr>
        <w:br w:type="page"/>
      </w:r>
    </w:p>
    <w:p w:rsidR="00464F61" w:rsidRDefault="00464F61" w:rsidP="00464F61">
      <w:pPr>
        <w:pStyle w:val="Normalb797bdc4"/>
        <w:widowControl w:val="0"/>
        <w:tabs>
          <w:tab w:val="left" w:pos="660"/>
        </w:tabs>
        <w:spacing w:before="0" w:beforeAutospacing="0" w:after="0" w:afterAutospacing="0" w:line="240" w:lineRule="auto"/>
        <w:ind w:firstLineChars="0" w:firstLine="0"/>
        <w:jc w:val="both"/>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464F61" w:rsidRDefault="00464F61" w:rsidP="00464F61">
      <w:pPr>
        <w:pStyle w:val="Normalb797bdc4"/>
        <w:widowControl w:val="0"/>
        <w:spacing w:before="0" w:beforeAutospacing="0" w:after="0" w:afterAutospacing="0" w:line="640" w:lineRule="exact"/>
        <w:ind w:firstLineChars="0" w:firstLine="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现场评估工作分组</w:t>
      </w:r>
    </w:p>
    <w:p w:rsidR="00464F61" w:rsidRDefault="00464F61" w:rsidP="00464F61">
      <w:pPr>
        <w:pStyle w:val="Normalb797bdc4"/>
        <w:widowControl w:val="0"/>
        <w:tabs>
          <w:tab w:val="left" w:pos="660"/>
        </w:tabs>
        <w:spacing w:before="0" w:beforeAutospacing="0" w:after="0" w:afterAutospacing="0" w:line="560" w:lineRule="exact"/>
        <w:ind w:firstLineChars="0" w:firstLine="0"/>
        <w:rPr>
          <w:rFonts w:ascii="仿宋_GB2312" w:eastAsia="仿宋_GB2312" w:hAnsi="仿宋" w:cs="黑体"/>
          <w:sz w:val="32"/>
          <w:szCs w:val="32"/>
        </w:rPr>
      </w:pPr>
    </w:p>
    <w:p w:rsidR="00464F61" w:rsidRDefault="00464F61" w:rsidP="00464F61">
      <w:pPr>
        <w:pStyle w:val="Normalb797bdc4"/>
        <w:ind w:firstLineChars="177" w:firstLine="566"/>
        <w:rPr>
          <w:rFonts w:ascii="Times New Roman" w:eastAsia="仿宋_GB2312" w:hAnsi="Times New Roman" w:cs="Times New Roman"/>
          <w:sz w:val="32"/>
          <w:szCs w:val="32"/>
        </w:rPr>
      </w:pPr>
      <w:r>
        <w:rPr>
          <w:rFonts w:ascii="Times New Roman" w:eastAsia="黑体" w:hAnsi="Times New Roman" w:cs="Times New Roman"/>
          <w:sz w:val="32"/>
          <w:szCs w:val="32"/>
        </w:rPr>
        <w:t>第一组：</w:t>
      </w:r>
      <w:r>
        <w:rPr>
          <w:rFonts w:ascii="Times New Roman" w:eastAsia="仿宋_GB2312" w:hAnsi="Times New Roman" w:cs="Times New Roman"/>
          <w:sz w:val="32"/>
          <w:szCs w:val="32"/>
        </w:rPr>
        <w:t>负责烟台市、威海市、青岛农业大学</w:t>
      </w:r>
    </w:p>
    <w:p w:rsidR="00464F61" w:rsidRDefault="00464F61" w:rsidP="00464F61">
      <w:pPr>
        <w:pStyle w:val="Normalb797bdc4"/>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联络员：周开锋，</w:t>
      </w:r>
      <w:r>
        <w:rPr>
          <w:rFonts w:ascii="Times New Roman" w:eastAsia="仿宋_GB2312" w:hAnsi="Times New Roman" w:cs="Times New Roman"/>
          <w:sz w:val="32"/>
          <w:szCs w:val="32"/>
        </w:rPr>
        <w:t>13854195385</w:t>
      </w:r>
    </w:p>
    <w:p w:rsidR="00464F61" w:rsidRDefault="00464F61" w:rsidP="00464F61">
      <w:pPr>
        <w:pStyle w:val="Normalb797bdc4"/>
        <w:ind w:firstLineChars="177" w:firstLine="566"/>
        <w:rPr>
          <w:rFonts w:ascii="Times New Roman" w:eastAsia="仿宋_GB2312" w:hAnsi="Times New Roman" w:cs="Times New Roman"/>
          <w:sz w:val="32"/>
          <w:szCs w:val="32"/>
        </w:rPr>
      </w:pPr>
      <w:r>
        <w:rPr>
          <w:rFonts w:ascii="Times New Roman" w:eastAsia="黑体" w:hAnsi="Times New Roman" w:cs="Times New Roman"/>
          <w:sz w:val="32"/>
          <w:szCs w:val="32"/>
        </w:rPr>
        <w:t>第二组：</w:t>
      </w:r>
      <w:r>
        <w:rPr>
          <w:rFonts w:ascii="Times New Roman" w:eastAsia="仿宋_GB2312" w:hAnsi="Times New Roman" w:cs="Times New Roman"/>
          <w:sz w:val="32"/>
          <w:szCs w:val="32"/>
        </w:rPr>
        <w:t>负责济南市、德州市、聊城市</w:t>
      </w:r>
    </w:p>
    <w:p w:rsidR="00464F61" w:rsidRDefault="00464F61" w:rsidP="00464F61">
      <w:pPr>
        <w:pStyle w:val="Normalb797bdc4"/>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联络员：陶家树，</w:t>
      </w:r>
      <w:r>
        <w:rPr>
          <w:rFonts w:ascii="Times New Roman" w:eastAsia="仿宋_GB2312" w:hAnsi="Times New Roman" w:cs="Times New Roman"/>
          <w:sz w:val="32"/>
          <w:szCs w:val="32"/>
        </w:rPr>
        <w:t>13953132123</w:t>
      </w:r>
    </w:p>
    <w:p w:rsidR="00464F61" w:rsidRDefault="00464F61" w:rsidP="00464F61">
      <w:pPr>
        <w:pStyle w:val="Normalb797bdc4"/>
        <w:ind w:firstLineChars="177" w:firstLine="566"/>
        <w:rPr>
          <w:rFonts w:ascii="Times New Roman" w:eastAsia="仿宋_GB2312" w:hAnsi="Times New Roman" w:cs="Times New Roman"/>
          <w:sz w:val="32"/>
          <w:szCs w:val="32"/>
        </w:rPr>
      </w:pPr>
      <w:r>
        <w:rPr>
          <w:rFonts w:ascii="Times New Roman" w:eastAsia="黑体" w:hAnsi="Times New Roman" w:cs="Times New Roman"/>
          <w:sz w:val="32"/>
          <w:szCs w:val="32"/>
        </w:rPr>
        <w:t>第三组：</w:t>
      </w:r>
      <w:r>
        <w:rPr>
          <w:rFonts w:ascii="Times New Roman" w:eastAsia="仿宋_GB2312" w:hAnsi="Times New Roman" w:cs="Times New Roman"/>
          <w:sz w:val="32"/>
          <w:szCs w:val="32"/>
        </w:rPr>
        <w:t>负责枣庄市、泰安市、菏泽市</w:t>
      </w:r>
    </w:p>
    <w:p w:rsidR="00464F61" w:rsidRDefault="00464F61" w:rsidP="00464F61">
      <w:pPr>
        <w:pStyle w:val="Normalb797bdc4"/>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联络员：齐超，</w:t>
      </w:r>
      <w:r>
        <w:rPr>
          <w:rFonts w:ascii="Times New Roman" w:eastAsia="仿宋_GB2312" w:hAnsi="Times New Roman" w:cs="Times New Roman"/>
          <w:sz w:val="32"/>
          <w:szCs w:val="32"/>
        </w:rPr>
        <w:t>15165196818</w:t>
      </w:r>
    </w:p>
    <w:p w:rsidR="00464F61" w:rsidRDefault="00464F61" w:rsidP="00464F61">
      <w:pPr>
        <w:pStyle w:val="Normalb797bdc4"/>
        <w:ind w:firstLineChars="177" w:firstLine="566"/>
        <w:rPr>
          <w:rFonts w:ascii="Times New Roman" w:eastAsia="仿宋_GB2312" w:hAnsi="Times New Roman" w:cs="Times New Roman"/>
          <w:sz w:val="32"/>
          <w:szCs w:val="32"/>
        </w:rPr>
      </w:pPr>
      <w:r>
        <w:rPr>
          <w:rFonts w:ascii="Times New Roman" w:eastAsia="黑体" w:hAnsi="Times New Roman" w:cs="Times New Roman"/>
          <w:sz w:val="32"/>
          <w:szCs w:val="32"/>
        </w:rPr>
        <w:t>第四组：</w:t>
      </w:r>
      <w:r>
        <w:rPr>
          <w:rFonts w:ascii="Times New Roman" w:eastAsia="仿宋_GB2312" w:hAnsi="Times New Roman" w:cs="Times New Roman"/>
          <w:sz w:val="32"/>
          <w:szCs w:val="32"/>
        </w:rPr>
        <w:t>负责淄博市、潍坊市、滨州市</w:t>
      </w:r>
    </w:p>
    <w:p w:rsidR="00464F61" w:rsidRDefault="00464F61" w:rsidP="00464F61">
      <w:pPr>
        <w:pStyle w:val="Normalb797bdc4"/>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联络员：吴洋，</w:t>
      </w:r>
      <w:r>
        <w:rPr>
          <w:rFonts w:ascii="Times New Roman" w:eastAsia="仿宋_GB2312" w:hAnsi="Times New Roman" w:cs="Times New Roman"/>
          <w:sz w:val="32"/>
          <w:szCs w:val="32"/>
        </w:rPr>
        <w:t>13953109719</w:t>
      </w:r>
    </w:p>
    <w:p w:rsidR="00464F61" w:rsidRDefault="00464F61" w:rsidP="00464F61">
      <w:pPr>
        <w:pStyle w:val="Normalb797bdc4"/>
        <w:ind w:firstLineChars="177" w:firstLine="566"/>
        <w:rPr>
          <w:rFonts w:ascii="Times New Roman" w:eastAsia="仿宋_GB2312" w:hAnsi="Times New Roman" w:cs="Times New Roman"/>
          <w:sz w:val="32"/>
          <w:szCs w:val="32"/>
        </w:rPr>
      </w:pPr>
      <w:r>
        <w:rPr>
          <w:rFonts w:ascii="Times New Roman" w:eastAsia="黑体" w:hAnsi="Times New Roman" w:cs="Times New Roman"/>
          <w:sz w:val="32"/>
          <w:szCs w:val="32"/>
        </w:rPr>
        <w:t>第五组：</w:t>
      </w:r>
      <w:r>
        <w:rPr>
          <w:rFonts w:ascii="Times New Roman" w:eastAsia="仿宋_GB2312" w:hAnsi="Times New Roman" w:cs="Times New Roman"/>
          <w:sz w:val="32"/>
          <w:szCs w:val="32"/>
        </w:rPr>
        <w:t>负责日照市、临沂市</w:t>
      </w:r>
    </w:p>
    <w:p w:rsidR="00464F61" w:rsidRDefault="00464F61" w:rsidP="00464F61">
      <w:pPr>
        <w:pStyle w:val="Normalb797bdc4"/>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联络员：张淑二，</w:t>
      </w:r>
      <w:r>
        <w:rPr>
          <w:rFonts w:ascii="Times New Roman" w:eastAsia="仿宋_GB2312" w:hAnsi="Times New Roman" w:cs="Times New Roman"/>
          <w:sz w:val="32"/>
          <w:szCs w:val="32"/>
        </w:rPr>
        <w:t>13969155291</w:t>
      </w:r>
    </w:p>
    <w:p w:rsidR="00464F61" w:rsidRDefault="00464F61" w:rsidP="00464F61">
      <w:pPr>
        <w:pStyle w:val="Normalb797bdc4"/>
        <w:ind w:firstLineChars="177" w:firstLine="566"/>
        <w:rPr>
          <w:rFonts w:ascii="Times New Roman" w:eastAsia="仿宋_GB2312" w:hAnsi="Times New Roman" w:cs="Times New Roman"/>
          <w:sz w:val="32"/>
          <w:szCs w:val="32"/>
        </w:rPr>
      </w:pPr>
      <w:r>
        <w:rPr>
          <w:rFonts w:ascii="Times New Roman" w:eastAsia="黑体" w:hAnsi="Times New Roman" w:cs="Times New Roman"/>
          <w:sz w:val="32"/>
          <w:szCs w:val="32"/>
        </w:rPr>
        <w:t>第六组：</w:t>
      </w:r>
      <w:r>
        <w:rPr>
          <w:rFonts w:ascii="Times New Roman" w:eastAsia="仿宋_GB2312" w:hAnsi="Times New Roman" w:cs="Times New Roman"/>
          <w:sz w:val="32"/>
          <w:szCs w:val="32"/>
        </w:rPr>
        <w:t>负责济宁市</w:t>
      </w:r>
    </w:p>
    <w:p w:rsidR="00464F61" w:rsidRDefault="00464F61" w:rsidP="00464F61">
      <w:pPr>
        <w:pStyle w:val="Normalb797bdc4"/>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联络员：张敏，</w:t>
      </w:r>
      <w:r>
        <w:rPr>
          <w:rFonts w:ascii="Times New Roman" w:eastAsia="仿宋_GB2312" w:hAnsi="Times New Roman" w:cs="Times New Roman"/>
          <w:sz w:val="32"/>
          <w:szCs w:val="32"/>
        </w:rPr>
        <w:t>18866617369</w:t>
      </w:r>
    </w:p>
    <w:p w:rsidR="00464F61" w:rsidRDefault="00464F61" w:rsidP="00464F61">
      <w:pPr>
        <w:pStyle w:val="Normalb797bdc4"/>
        <w:widowControl w:val="0"/>
        <w:tabs>
          <w:tab w:val="left" w:pos="660"/>
        </w:tabs>
        <w:spacing w:before="0" w:beforeAutospacing="0" w:after="0" w:afterAutospacing="0" w:line="560" w:lineRule="exact"/>
        <w:ind w:firstLineChars="0" w:firstLine="0"/>
        <w:rPr>
          <w:rFonts w:ascii="楷体_GB2312" w:eastAsia="楷体_GB2312" w:hAnsi="仿宋" w:cs="黑体"/>
          <w:sz w:val="32"/>
          <w:szCs w:val="32"/>
        </w:rPr>
      </w:pPr>
      <w:r>
        <w:rPr>
          <w:rFonts w:ascii="楷体_GB2312" w:eastAsia="楷体_GB2312" w:hAnsi="仿宋" w:cs="黑体" w:hint="eastAsia"/>
          <w:sz w:val="32"/>
          <w:szCs w:val="32"/>
        </w:rPr>
        <w:t>（请各市与联络员对接，商定现场具体评估时间后另发公函）</w:t>
      </w:r>
    </w:p>
    <w:p w:rsidR="00464F61" w:rsidRDefault="00464F61" w:rsidP="00464F61">
      <w:pPr>
        <w:pStyle w:val="Normalb797bdc4"/>
        <w:widowControl w:val="0"/>
        <w:tabs>
          <w:tab w:val="left" w:pos="660"/>
        </w:tabs>
        <w:spacing w:before="0" w:beforeAutospacing="0" w:after="0" w:afterAutospacing="0" w:line="240" w:lineRule="auto"/>
        <w:ind w:firstLineChars="0" w:firstLine="0"/>
        <w:jc w:val="both"/>
        <w:rPr>
          <w:rFonts w:ascii="黑体" w:eastAsia="黑体" w:hAnsi="黑体" w:cs="黑体"/>
          <w:sz w:val="32"/>
          <w:szCs w:val="32"/>
        </w:rPr>
      </w:pPr>
      <w:r>
        <w:rPr>
          <w:rFonts w:ascii="黑体" w:eastAsia="黑体" w:hAnsi="黑体" w:cs="黑体" w:hint="eastAsia"/>
          <w:sz w:val="32"/>
          <w:szCs w:val="32"/>
        </w:rPr>
        <w:lastRenderedPageBreak/>
        <w:t>附件3</w:t>
      </w:r>
    </w:p>
    <w:p w:rsidR="00464F61" w:rsidRDefault="00464F61" w:rsidP="00464F61">
      <w:pPr>
        <w:pStyle w:val="Normalb797bdc4"/>
        <w:widowControl w:val="0"/>
        <w:spacing w:before="0" w:beforeAutospacing="0" w:after="0" w:afterAutospacing="0" w:line="600" w:lineRule="exact"/>
        <w:ind w:firstLineChars="0" w:firstLine="0"/>
        <w:jc w:val="center"/>
        <w:rPr>
          <w:rFonts w:ascii="方正小标宋简体" w:eastAsia="方正小标宋简体" w:hAnsi="黑体" w:cs="黑体" w:hint="eastAsia"/>
          <w:spacing w:val="-11"/>
          <w:sz w:val="44"/>
          <w:szCs w:val="44"/>
        </w:rPr>
      </w:pPr>
      <w:r>
        <w:rPr>
          <w:rFonts w:ascii="方正小标宋简体" w:eastAsia="方正小标宋简体" w:hAnsi="黑体" w:cs="黑体" w:hint="eastAsia"/>
          <w:spacing w:val="-11"/>
          <w:sz w:val="44"/>
          <w:szCs w:val="44"/>
        </w:rPr>
        <w:t>山东省畜禽遗传资源保护单位保种效果评估表</w:t>
      </w:r>
    </w:p>
    <w:p w:rsidR="00377F4F" w:rsidRDefault="00377F4F" w:rsidP="00464F61">
      <w:pPr>
        <w:pStyle w:val="Normalb797bdc4"/>
        <w:widowControl w:val="0"/>
        <w:spacing w:before="0" w:beforeAutospacing="0" w:after="0" w:afterAutospacing="0" w:line="600" w:lineRule="exact"/>
        <w:ind w:firstLineChars="0" w:firstLine="0"/>
        <w:jc w:val="center"/>
        <w:rPr>
          <w:rFonts w:ascii="方正小标宋简体" w:eastAsia="方正小标宋简体" w:hAnsi="黑体" w:cs="黑体"/>
          <w:spacing w:val="-11"/>
          <w:sz w:val="44"/>
          <w:szCs w:val="44"/>
        </w:rPr>
      </w:pPr>
    </w:p>
    <w:p w:rsidR="00464F61" w:rsidRDefault="00464F61" w:rsidP="00464F61">
      <w:pPr>
        <w:pStyle w:val="Normalb797bdc4"/>
        <w:widowControl w:val="0"/>
        <w:spacing w:before="0" w:beforeAutospacing="0" w:after="0" w:afterAutospacing="0" w:line="360" w:lineRule="auto"/>
        <w:ind w:firstLineChars="0" w:firstLine="0"/>
        <w:rPr>
          <w:rFonts w:ascii="宋体" w:eastAsia="宋体" w:hAnsi="宋体" w:cs="宋体"/>
          <w:bCs/>
          <w:szCs w:val="21"/>
        </w:rPr>
      </w:pPr>
      <w:r>
        <w:rPr>
          <w:rFonts w:ascii="宋体" w:eastAsia="宋体" w:hAnsi="宋体" w:cs="宋体" w:hint="eastAsia"/>
          <w:bCs/>
          <w:szCs w:val="21"/>
        </w:rPr>
        <w:t>保护单位名称：                                      日期：    年    月    日</w:t>
      </w:r>
    </w:p>
    <w:tbl>
      <w:tblPr>
        <w:tblStyle w:val="NormalTable79ec54aa"/>
        <w:tblW w:w="517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1860"/>
        <w:gridCol w:w="554"/>
        <w:gridCol w:w="1055"/>
        <w:gridCol w:w="3644"/>
        <w:gridCol w:w="795"/>
        <w:gridCol w:w="521"/>
      </w:tblGrid>
      <w:tr w:rsidR="00464F61" w:rsidTr="00900DAC">
        <w:trPr>
          <w:trHeight w:val="557"/>
          <w:jc w:val="center"/>
        </w:trPr>
        <w:tc>
          <w:tcPr>
            <w:tcW w:w="357" w:type="pct"/>
            <w:vAlign w:val="center"/>
          </w:tcPr>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序号</w:t>
            </w:r>
          </w:p>
        </w:tc>
        <w:tc>
          <w:tcPr>
            <w:tcW w:w="1024" w:type="pct"/>
            <w:vAlign w:val="center"/>
          </w:tcPr>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评估项</w:t>
            </w:r>
          </w:p>
        </w:tc>
        <w:tc>
          <w:tcPr>
            <w:tcW w:w="305" w:type="pct"/>
            <w:vAlign w:val="center"/>
          </w:tcPr>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总</w:t>
            </w:r>
          </w:p>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分值</w:t>
            </w:r>
          </w:p>
        </w:tc>
        <w:tc>
          <w:tcPr>
            <w:tcW w:w="2588" w:type="pct"/>
            <w:gridSpan w:val="2"/>
            <w:vAlign w:val="center"/>
          </w:tcPr>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评估标准及赋分</w:t>
            </w:r>
          </w:p>
        </w:tc>
        <w:tc>
          <w:tcPr>
            <w:tcW w:w="438" w:type="pct"/>
            <w:vAlign w:val="center"/>
          </w:tcPr>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扣分理由</w:t>
            </w:r>
          </w:p>
        </w:tc>
        <w:tc>
          <w:tcPr>
            <w:tcW w:w="287" w:type="pct"/>
            <w:vAlign w:val="center"/>
          </w:tcPr>
          <w:p w:rsidR="00464F61" w:rsidRDefault="00464F61" w:rsidP="00900DAC">
            <w:pPr>
              <w:spacing w:line="260" w:lineRule="exact"/>
              <w:jc w:val="center"/>
              <w:rPr>
                <w:rFonts w:ascii="宋体" w:eastAsia="宋体" w:hAnsi="宋体" w:cs="宋体"/>
                <w:b/>
                <w:bCs/>
                <w:sz w:val="24"/>
              </w:rPr>
            </w:pPr>
            <w:r>
              <w:rPr>
                <w:rFonts w:ascii="宋体" w:eastAsia="宋体" w:hAnsi="宋体" w:cs="宋体" w:hint="eastAsia"/>
                <w:b/>
                <w:bCs/>
                <w:sz w:val="24"/>
              </w:rPr>
              <w:t>得分</w:t>
            </w:r>
          </w:p>
        </w:tc>
      </w:tr>
      <w:tr w:rsidR="00464F61" w:rsidTr="00900DAC">
        <w:trPr>
          <w:trHeight w:val="461"/>
          <w:jc w:val="center"/>
        </w:trPr>
        <w:tc>
          <w:tcPr>
            <w:tcW w:w="357" w:type="pct"/>
            <w:vAlign w:val="center"/>
          </w:tcPr>
          <w:p w:rsidR="00464F61" w:rsidRDefault="00464F61" w:rsidP="00900DAC">
            <w:pPr>
              <w:spacing w:line="240" w:lineRule="exact"/>
              <w:jc w:val="center"/>
              <w:rPr>
                <w:rFonts w:ascii="Calibri" w:eastAsia="宋体" w:hAnsi="Calibri"/>
                <w:sz w:val="24"/>
              </w:rPr>
            </w:pPr>
            <w:r>
              <w:rPr>
                <w:rFonts w:ascii="Calibri" w:eastAsia="宋体" w:hAnsi="Calibri" w:hint="eastAsia"/>
                <w:sz w:val="24"/>
              </w:rPr>
              <w:t>1</w:t>
            </w:r>
          </w:p>
        </w:tc>
        <w:tc>
          <w:tcPr>
            <w:tcW w:w="1024" w:type="pct"/>
            <w:vAlign w:val="center"/>
          </w:tcPr>
          <w:p w:rsidR="00464F61" w:rsidRDefault="00464F61" w:rsidP="00900DAC">
            <w:pPr>
              <w:spacing w:line="240" w:lineRule="exact"/>
              <w:jc w:val="center"/>
              <w:rPr>
                <w:rFonts w:ascii="楷体" w:eastAsia="楷体" w:hAnsi="楷体" w:cs="楷体"/>
                <w:sz w:val="24"/>
              </w:rPr>
            </w:pPr>
            <w:r>
              <w:rPr>
                <w:rFonts w:ascii="楷体" w:eastAsia="楷体" w:hAnsi="楷体" w:cs="楷体" w:hint="eastAsia"/>
                <w:sz w:val="24"/>
              </w:rPr>
              <w:t>具有种畜禽生产经营许可证</w:t>
            </w:r>
          </w:p>
        </w:tc>
        <w:tc>
          <w:tcPr>
            <w:tcW w:w="305" w:type="pct"/>
            <w:vAlign w:val="center"/>
          </w:tcPr>
          <w:p w:rsidR="00464F61" w:rsidRDefault="00464F61" w:rsidP="00900DAC">
            <w:pPr>
              <w:spacing w:line="240" w:lineRule="exact"/>
              <w:jc w:val="center"/>
              <w:rPr>
                <w:rFonts w:ascii="楷体" w:eastAsia="楷体" w:hAnsi="楷体" w:cs="楷体"/>
                <w:sz w:val="24"/>
              </w:rPr>
            </w:pPr>
            <w:r>
              <w:rPr>
                <w:rFonts w:ascii="楷体" w:eastAsia="楷体" w:hAnsi="楷体" w:cs="楷体" w:hint="eastAsia"/>
                <w:sz w:val="24"/>
              </w:rPr>
              <w:t>/</w:t>
            </w:r>
          </w:p>
        </w:tc>
        <w:tc>
          <w:tcPr>
            <w:tcW w:w="2588" w:type="pct"/>
            <w:gridSpan w:val="2"/>
            <w:vAlign w:val="center"/>
          </w:tcPr>
          <w:p w:rsidR="00464F61" w:rsidRDefault="00464F61" w:rsidP="00900DAC">
            <w:pPr>
              <w:spacing w:line="240" w:lineRule="exact"/>
              <w:jc w:val="left"/>
              <w:rPr>
                <w:rFonts w:ascii="楷体" w:eastAsia="楷体" w:hAnsi="楷体" w:cs="楷体"/>
                <w:sz w:val="24"/>
              </w:rPr>
            </w:pPr>
            <w:r>
              <w:rPr>
                <w:rFonts w:ascii="楷体" w:eastAsia="楷体" w:hAnsi="楷体" w:cs="楷体" w:hint="eastAsia"/>
                <w:sz w:val="24"/>
              </w:rPr>
              <w:t>实行一票否决，证件合法有效的继续评估，缺少的评估终止，并视为C级。</w:t>
            </w:r>
          </w:p>
        </w:tc>
        <w:tc>
          <w:tcPr>
            <w:tcW w:w="438" w:type="pct"/>
            <w:vAlign w:val="center"/>
          </w:tcPr>
          <w:p w:rsidR="00464F61" w:rsidRDefault="00464F61" w:rsidP="00900DAC">
            <w:pPr>
              <w:spacing w:line="260" w:lineRule="exact"/>
              <w:jc w:val="center"/>
              <w:rPr>
                <w:rFonts w:ascii="Calibri" w:eastAsia="宋体" w:hAnsi="Calibri"/>
                <w:sz w:val="24"/>
              </w:rPr>
            </w:pPr>
          </w:p>
        </w:tc>
        <w:tc>
          <w:tcPr>
            <w:tcW w:w="287" w:type="pct"/>
            <w:vAlign w:val="center"/>
          </w:tcPr>
          <w:p w:rsidR="00464F61" w:rsidRDefault="00464F61" w:rsidP="00900DAC">
            <w:pPr>
              <w:spacing w:line="260" w:lineRule="exact"/>
              <w:jc w:val="center"/>
              <w:rPr>
                <w:rFonts w:ascii="Calibri" w:eastAsia="宋体" w:hAnsi="Calibri"/>
                <w:sz w:val="24"/>
              </w:rPr>
            </w:pPr>
          </w:p>
        </w:tc>
      </w:tr>
      <w:tr w:rsidR="00464F61" w:rsidTr="00900DAC">
        <w:trPr>
          <w:trHeight w:val="1178"/>
          <w:jc w:val="center"/>
        </w:trPr>
        <w:tc>
          <w:tcPr>
            <w:tcW w:w="357" w:type="pct"/>
            <w:vAlign w:val="center"/>
          </w:tcPr>
          <w:p w:rsidR="00464F61" w:rsidRDefault="00464F61" w:rsidP="00900DAC">
            <w:pPr>
              <w:spacing w:line="240" w:lineRule="exact"/>
              <w:jc w:val="center"/>
              <w:rPr>
                <w:rFonts w:ascii="Calibri" w:eastAsia="宋体" w:hAnsi="Calibri"/>
                <w:sz w:val="24"/>
              </w:rPr>
            </w:pPr>
            <w:r>
              <w:rPr>
                <w:rFonts w:ascii="Calibri" w:eastAsia="宋体" w:hAnsi="Calibri" w:hint="eastAsia"/>
                <w:sz w:val="24"/>
              </w:rPr>
              <w:t>2</w:t>
            </w:r>
          </w:p>
        </w:tc>
        <w:tc>
          <w:tcPr>
            <w:tcW w:w="1024" w:type="pct"/>
            <w:vAlign w:val="center"/>
          </w:tcPr>
          <w:p w:rsidR="00464F61" w:rsidRDefault="00464F61" w:rsidP="00900DAC">
            <w:pPr>
              <w:spacing w:line="240" w:lineRule="exact"/>
              <w:jc w:val="center"/>
              <w:rPr>
                <w:rFonts w:ascii="楷体" w:eastAsia="楷体" w:hAnsi="楷体" w:cs="楷体"/>
                <w:sz w:val="24"/>
              </w:rPr>
            </w:pPr>
            <w:r>
              <w:rPr>
                <w:rFonts w:ascii="楷体" w:eastAsia="楷体" w:hAnsi="楷体" w:cs="楷体" w:hint="eastAsia"/>
                <w:sz w:val="24"/>
              </w:rPr>
              <w:t>种群数量（含家系数）</w:t>
            </w:r>
          </w:p>
        </w:tc>
        <w:tc>
          <w:tcPr>
            <w:tcW w:w="305" w:type="pct"/>
            <w:vAlign w:val="center"/>
          </w:tcPr>
          <w:p w:rsidR="00464F61" w:rsidRDefault="00464F61" w:rsidP="00900DAC">
            <w:pPr>
              <w:spacing w:line="240" w:lineRule="exact"/>
              <w:jc w:val="center"/>
              <w:rPr>
                <w:rFonts w:ascii="楷体" w:eastAsia="楷体" w:hAnsi="楷体" w:cs="楷体"/>
                <w:sz w:val="24"/>
              </w:rPr>
            </w:pPr>
            <w:r>
              <w:rPr>
                <w:rFonts w:ascii="楷体" w:eastAsia="楷体" w:hAnsi="楷体" w:cs="楷体" w:hint="eastAsia"/>
                <w:sz w:val="24"/>
              </w:rPr>
              <w:t>30</w:t>
            </w:r>
          </w:p>
        </w:tc>
        <w:tc>
          <w:tcPr>
            <w:tcW w:w="2588" w:type="pct"/>
            <w:gridSpan w:val="2"/>
            <w:vAlign w:val="center"/>
          </w:tcPr>
          <w:p w:rsidR="00464F61" w:rsidRDefault="00464F61" w:rsidP="00900DAC">
            <w:pPr>
              <w:spacing w:line="240" w:lineRule="exact"/>
              <w:jc w:val="left"/>
              <w:rPr>
                <w:rFonts w:ascii="楷体" w:eastAsia="楷体" w:hAnsi="楷体" w:cs="楷体"/>
                <w:sz w:val="24"/>
              </w:rPr>
            </w:pPr>
            <w:r>
              <w:rPr>
                <w:rFonts w:ascii="楷体" w:eastAsia="楷体" w:hAnsi="楷体" w:cs="楷体" w:hint="eastAsia"/>
                <w:sz w:val="24"/>
              </w:rPr>
              <w:t>达到办法第五条（七）规定数量的或完成保种任务书数量的得满分；达不到数量要求，家系缺少一个扣5分；母畜禽数量每减少</w:t>
            </w:r>
            <w:r>
              <w:rPr>
                <w:rFonts w:ascii="楷体" w:eastAsia="楷体" w:hAnsi="楷体" w:cs="楷体"/>
                <w:sz w:val="24"/>
              </w:rPr>
              <w:t>1</w:t>
            </w:r>
            <w:r>
              <w:rPr>
                <w:rFonts w:ascii="楷体" w:eastAsia="楷体" w:hAnsi="楷体" w:cs="楷体" w:hint="eastAsia"/>
                <w:sz w:val="24"/>
              </w:rPr>
              <w:t>%，扣</w:t>
            </w:r>
            <w:r>
              <w:rPr>
                <w:rFonts w:ascii="楷体" w:eastAsia="楷体" w:hAnsi="楷体" w:cs="楷体"/>
                <w:sz w:val="24"/>
              </w:rPr>
              <w:t>1</w:t>
            </w:r>
            <w:r>
              <w:rPr>
                <w:rFonts w:ascii="楷体" w:eastAsia="楷体" w:hAnsi="楷体" w:cs="楷体" w:hint="eastAsia"/>
                <w:sz w:val="24"/>
              </w:rPr>
              <w:t>分；公畜禽每减少</w:t>
            </w:r>
            <w:r>
              <w:rPr>
                <w:rFonts w:ascii="楷体" w:eastAsia="楷体" w:hAnsi="楷体" w:cs="楷体"/>
                <w:sz w:val="24"/>
              </w:rPr>
              <w:t>1</w:t>
            </w:r>
            <w:r>
              <w:rPr>
                <w:rFonts w:ascii="楷体" w:eastAsia="楷体" w:hAnsi="楷体" w:cs="楷体" w:hint="eastAsia"/>
                <w:sz w:val="24"/>
              </w:rPr>
              <w:t>%，扣</w:t>
            </w:r>
            <w:r>
              <w:rPr>
                <w:rFonts w:ascii="楷体" w:eastAsia="楷体" w:hAnsi="楷体" w:cs="楷体"/>
                <w:sz w:val="24"/>
              </w:rPr>
              <w:t>2</w:t>
            </w:r>
            <w:r>
              <w:rPr>
                <w:rFonts w:ascii="楷体" w:eastAsia="楷体" w:hAnsi="楷体" w:cs="楷体" w:hint="eastAsia"/>
                <w:sz w:val="24"/>
              </w:rPr>
              <w:t>分；扣完为止。</w:t>
            </w:r>
          </w:p>
        </w:tc>
        <w:tc>
          <w:tcPr>
            <w:tcW w:w="438" w:type="pct"/>
            <w:vAlign w:val="center"/>
          </w:tcPr>
          <w:p w:rsidR="00464F61" w:rsidRDefault="00464F61" w:rsidP="00900DAC">
            <w:pPr>
              <w:spacing w:line="260" w:lineRule="exact"/>
              <w:jc w:val="center"/>
              <w:rPr>
                <w:rFonts w:ascii="楷体" w:eastAsia="楷体" w:hAnsi="楷体" w:cs="楷体"/>
                <w:sz w:val="24"/>
              </w:rPr>
            </w:pPr>
          </w:p>
        </w:tc>
        <w:tc>
          <w:tcPr>
            <w:tcW w:w="287" w:type="pct"/>
            <w:vAlign w:val="center"/>
          </w:tcPr>
          <w:p w:rsidR="00464F61" w:rsidRDefault="00464F61" w:rsidP="00900DAC">
            <w:pPr>
              <w:spacing w:line="260" w:lineRule="exact"/>
              <w:jc w:val="center"/>
              <w:rPr>
                <w:rFonts w:ascii="楷体" w:eastAsia="楷体" w:hAnsi="楷体" w:cs="楷体"/>
                <w:sz w:val="24"/>
              </w:rPr>
            </w:pPr>
          </w:p>
        </w:tc>
      </w:tr>
      <w:tr w:rsidR="00464F61" w:rsidTr="00900DAC">
        <w:trPr>
          <w:trHeight w:hRule="exact" w:val="454"/>
          <w:jc w:val="center"/>
        </w:trPr>
        <w:tc>
          <w:tcPr>
            <w:tcW w:w="357" w:type="pct"/>
            <w:vMerge w:val="restart"/>
            <w:vAlign w:val="center"/>
          </w:tcPr>
          <w:p w:rsidR="00464F61" w:rsidRDefault="00464F61" w:rsidP="00900DAC">
            <w:pPr>
              <w:spacing w:line="260" w:lineRule="exact"/>
              <w:jc w:val="center"/>
              <w:rPr>
                <w:rFonts w:ascii="Calibri" w:eastAsia="宋体" w:hAnsi="Calibri"/>
                <w:sz w:val="24"/>
              </w:rPr>
            </w:pPr>
            <w:r>
              <w:rPr>
                <w:rFonts w:ascii="Calibri" w:eastAsia="宋体" w:hAnsi="Calibri" w:hint="eastAsia"/>
                <w:sz w:val="24"/>
              </w:rPr>
              <w:t>3</w:t>
            </w:r>
          </w:p>
        </w:tc>
        <w:tc>
          <w:tcPr>
            <w:tcW w:w="1024" w:type="pct"/>
            <w:vMerge w:val="restar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种群质量</w:t>
            </w:r>
          </w:p>
        </w:tc>
        <w:tc>
          <w:tcPr>
            <w:tcW w:w="305" w:type="pct"/>
            <w:vMerge w:val="restar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25</w:t>
            </w:r>
          </w:p>
        </w:tc>
        <w:tc>
          <w:tcPr>
            <w:tcW w:w="581"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0-10分</w:t>
            </w:r>
          </w:p>
        </w:tc>
        <w:tc>
          <w:tcPr>
            <w:tcW w:w="2006"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保种群体型外貌符合品种特征。</w:t>
            </w:r>
          </w:p>
        </w:tc>
        <w:tc>
          <w:tcPr>
            <w:tcW w:w="438" w:type="pct"/>
            <w:vAlign w:val="center"/>
          </w:tcPr>
          <w:p w:rsidR="00464F61" w:rsidRDefault="00464F61" w:rsidP="00900DAC">
            <w:pPr>
              <w:spacing w:line="260" w:lineRule="exact"/>
              <w:jc w:val="center"/>
              <w:rPr>
                <w:rFonts w:ascii="楷体" w:eastAsia="楷体" w:hAnsi="楷体" w:cs="楷体"/>
                <w:sz w:val="24"/>
              </w:rPr>
            </w:pPr>
          </w:p>
        </w:tc>
        <w:tc>
          <w:tcPr>
            <w:tcW w:w="287" w:type="pct"/>
            <w:vAlign w:val="center"/>
          </w:tcPr>
          <w:p w:rsidR="00464F61" w:rsidRDefault="00464F61" w:rsidP="00900DAC">
            <w:pPr>
              <w:spacing w:line="260" w:lineRule="exact"/>
              <w:jc w:val="center"/>
              <w:rPr>
                <w:rFonts w:ascii="楷体" w:eastAsia="楷体" w:hAnsi="楷体" w:cs="楷体"/>
                <w:sz w:val="24"/>
              </w:rPr>
            </w:pPr>
          </w:p>
        </w:tc>
      </w:tr>
      <w:tr w:rsidR="00464F61" w:rsidTr="00900DAC">
        <w:trPr>
          <w:trHeight w:hRule="exact" w:val="454"/>
          <w:jc w:val="center"/>
        </w:trPr>
        <w:tc>
          <w:tcPr>
            <w:tcW w:w="357" w:type="pct"/>
            <w:vMerge/>
            <w:vAlign w:val="center"/>
          </w:tcPr>
          <w:p w:rsidR="00464F61" w:rsidRDefault="00464F61" w:rsidP="00900DAC">
            <w:pPr>
              <w:spacing w:line="260" w:lineRule="exact"/>
              <w:jc w:val="center"/>
              <w:rPr>
                <w:rFonts w:ascii="Calibri" w:eastAsia="宋体" w:hAnsi="Calibri"/>
                <w:sz w:val="24"/>
              </w:rPr>
            </w:pPr>
          </w:p>
        </w:tc>
        <w:tc>
          <w:tcPr>
            <w:tcW w:w="1024" w:type="pct"/>
            <w:vMerge/>
            <w:vAlign w:val="center"/>
          </w:tcPr>
          <w:p w:rsidR="00464F61" w:rsidRDefault="00464F61" w:rsidP="00900DAC">
            <w:pPr>
              <w:spacing w:line="260" w:lineRule="exact"/>
              <w:jc w:val="center"/>
              <w:rPr>
                <w:rFonts w:ascii="楷体" w:eastAsia="楷体" w:hAnsi="楷体" w:cs="楷体"/>
                <w:sz w:val="24"/>
              </w:rPr>
            </w:pPr>
          </w:p>
        </w:tc>
        <w:tc>
          <w:tcPr>
            <w:tcW w:w="305" w:type="pct"/>
            <w:vMerge/>
            <w:vAlign w:val="center"/>
          </w:tcPr>
          <w:p w:rsidR="00464F61" w:rsidRDefault="00464F61" w:rsidP="00900DAC">
            <w:pPr>
              <w:spacing w:line="260" w:lineRule="exact"/>
              <w:jc w:val="center"/>
              <w:rPr>
                <w:rFonts w:ascii="楷体" w:eastAsia="楷体" w:hAnsi="楷体" w:cs="楷体"/>
                <w:sz w:val="24"/>
              </w:rPr>
            </w:pPr>
          </w:p>
        </w:tc>
        <w:tc>
          <w:tcPr>
            <w:tcW w:w="581"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0-5分</w:t>
            </w:r>
          </w:p>
        </w:tc>
        <w:tc>
          <w:tcPr>
            <w:tcW w:w="2006" w:type="pct"/>
            <w:vAlign w:val="center"/>
          </w:tcPr>
          <w:p w:rsidR="00464F61" w:rsidRDefault="00464F61" w:rsidP="00900DAC">
            <w:pPr>
              <w:spacing w:line="260" w:lineRule="exact"/>
              <w:jc w:val="left"/>
              <w:rPr>
                <w:rFonts w:ascii="楷体" w:eastAsia="楷体" w:hAnsi="楷体" w:cs="楷体"/>
                <w:sz w:val="24"/>
              </w:rPr>
            </w:pPr>
            <w:r>
              <w:rPr>
                <w:rFonts w:ascii="楷体" w:eastAsia="楷体" w:hAnsi="楷体" w:cs="楷体" w:hint="eastAsia"/>
                <w:sz w:val="24"/>
              </w:rPr>
              <w:t>生长发育状况良好。</w:t>
            </w:r>
          </w:p>
        </w:tc>
        <w:tc>
          <w:tcPr>
            <w:tcW w:w="438" w:type="pct"/>
            <w:vAlign w:val="center"/>
          </w:tcPr>
          <w:p w:rsidR="00464F61" w:rsidRDefault="00464F61" w:rsidP="00900DAC">
            <w:pPr>
              <w:spacing w:line="260" w:lineRule="exact"/>
              <w:jc w:val="center"/>
              <w:rPr>
                <w:rFonts w:ascii="楷体" w:eastAsia="楷体" w:hAnsi="楷体" w:cs="楷体"/>
                <w:sz w:val="24"/>
              </w:rPr>
            </w:pPr>
          </w:p>
        </w:tc>
        <w:tc>
          <w:tcPr>
            <w:tcW w:w="287" w:type="pct"/>
            <w:vAlign w:val="center"/>
          </w:tcPr>
          <w:p w:rsidR="00464F61" w:rsidRDefault="00464F61" w:rsidP="00900DAC">
            <w:pPr>
              <w:spacing w:line="260" w:lineRule="exact"/>
              <w:jc w:val="center"/>
              <w:rPr>
                <w:rFonts w:ascii="楷体" w:eastAsia="楷体" w:hAnsi="楷体" w:cs="楷体"/>
                <w:sz w:val="24"/>
              </w:rPr>
            </w:pPr>
          </w:p>
        </w:tc>
      </w:tr>
      <w:tr w:rsidR="00464F61" w:rsidTr="00900DAC">
        <w:trPr>
          <w:trHeight w:val="560"/>
          <w:jc w:val="center"/>
        </w:trPr>
        <w:tc>
          <w:tcPr>
            <w:tcW w:w="357" w:type="pct"/>
            <w:vMerge/>
            <w:vAlign w:val="center"/>
          </w:tcPr>
          <w:p w:rsidR="00464F61" w:rsidRDefault="00464F61" w:rsidP="00900DAC">
            <w:pPr>
              <w:spacing w:line="260" w:lineRule="exact"/>
              <w:jc w:val="center"/>
              <w:rPr>
                <w:rFonts w:ascii="Calibri" w:eastAsia="宋体" w:hAnsi="Calibri"/>
                <w:sz w:val="24"/>
              </w:rPr>
            </w:pPr>
          </w:p>
        </w:tc>
        <w:tc>
          <w:tcPr>
            <w:tcW w:w="1024" w:type="pct"/>
            <w:vMerge/>
            <w:vAlign w:val="center"/>
          </w:tcPr>
          <w:p w:rsidR="00464F61" w:rsidRDefault="00464F61" w:rsidP="00900DAC">
            <w:pPr>
              <w:spacing w:line="260" w:lineRule="exact"/>
              <w:jc w:val="center"/>
              <w:rPr>
                <w:rFonts w:ascii="楷体" w:eastAsia="楷体" w:hAnsi="楷体" w:cs="楷体"/>
                <w:sz w:val="24"/>
              </w:rPr>
            </w:pPr>
          </w:p>
        </w:tc>
        <w:tc>
          <w:tcPr>
            <w:tcW w:w="305" w:type="pct"/>
            <w:vMerge/>
            <w:vAlign w:val="center"/>
          </w:tcPr>
          <w:p w:rsidR="00464F61" w:rsidRDefault="00464F61" w:rsidP="00900DAC">
            <w:pPr>
              <w:spacing w:line="260" w:lineRule="exact"/>
              <w:jc w:val="center"/>
              <w:rPr>
                <w:rFonts w:ascii="楷体" w:eastAsia="楷体" w:hAnsi="楷体" w:cs="楷体"/>
                <w:sz w:val="24"/>
              </w:rPr>
            </w:pPr>
          </w:p>
        </w:tc>
        <w:tc>
          <w:tcPr>
            <w:tcW w:w="581"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0-10分</w:t>
            </w:r>
          </w:p>
        </w:tc>
        <w:tc>
          <w:tcPr>
            <w:tcW w:w="2006" w:type="pct"/>
            <w:vAlign w:val="center"/>
          </w:tcPr>
          <w:p w:rsidR="00464F61" w:rsidRDefault="00464F61" w:rsidP="00900DAC">
            <w:pPr>
              <w:spacing w:line="260" w:lineRule="exact"/>
              <w:jc w:val="left"/>
              <w:rPr>
                <w:rFonts w:ascii="楷体" w:eastAsia="楷体" w:hAnsi="楷体" w:cs="楷体"/>
                <w:sz w:val="24"/>
              </w:rPr>
            </w:pPr>
            <w:r>
              <w:rPr>
                <w:rFonts w:ascii="楷体" w:eastAsia="楷体" w:hAnsi="楷体" w:cs="楷体" w:hint="eastAsia"/>
                <w:sz w:val="24"/>
              </w:rPr>
              <w:t>健康状况良好。（提供半年内具有法律效力的重大动物疫病、主要人畜共患病检测报告）</w:t>
            </w:r>
          </w:p>
        </w:tc>
        <w:tc>
          <w:tcPr>
            <w:tcW w:w="438" w:type="pct"/>
            <w:vAlign w:val="center"/>
          </w:tcPr>
          <w:p w:rsidR="00464F61" w:rsidRDefault="00464F61" w:rsidP="00900DAC">
            <w:pPr>
              <w:spacing w:line="260" w:lineRule="exact"/>
              <w:jc w:val="center"/>
              <w:rPr>
                <w:rFonts w:ascii="楷体" w:eastAsia="楷体" w:hAnsi="楷体" w:cs="楷体"/>
                <w:sz w:val="24"/>
              </w:rPr>
            </w:pPr>
          </w:p>
        </w:tc>
        <w:tc>
          <w:tcPr>
            <w:tcW w:w="287" w:type="pct"/>
            <w:vAlign w:val="center"/>
          </w:tcPr>
          <w:p w:rsidR="00464F61" w:rsidRDefault="00464F61" w:rsidP="00900DAC">
            <w:pPr>
              <w:spacing w:line="260" w:lineRule="exact"/>
              <w:jc w:val="center"/>
              <w:rPr>
                <w:rFonts w:ascii="楷体" w:eastAsia="楷体" w:hAnsi="楷体" w:cs="楷体"/>
                <w:sz w:val="24"/>
              </w:rPr>
            </w:pPr>
          </w:p>
        </w:tc>
      </w:tr>
      <w:tr w:rsidR="00464F61" w:rsidTr="00900DAC">
        <w:trPr>
          <w:jc w:val="center"/>
        </w:trPr>
        <w:tc>
          <w:tcPr>
            <w:tcW w:w="357" w:type="pct"/>
            <w:vAlign w:val="center"/>
          </w:tcPr>
          <w:p w:rsidR="00464F61" w:rsidRDefault="00464F61" w:rsidP="00900DAC">
            <w:pPr>
              <w:spacing w:line="260" w:lineRule="exact"/>
              <w:jc w:val="center"/>
              <w:rPr>
                <w:rFonts w:ascii="Calibri" w:eastAsia="宋体" w:hAnsi="Calibri"/>
                <w:sz w:val="24"/>
              </w:rPr>
            </w:pPr>
            <w:r>
              <w:rPr>
                <w:rFonts w:ascii="Calibri" w:eastAsia="宋体" w:hAnsi="Calibri" w:hint="eastAsia"/>
                <w:sz w:val="24"/>
              </w:rPr>
              <w:t>4</w:t>
            </w:r>
          </w:p>
        </w:tc>
        <w:tc>
          <w:tcPr>
            <w:tcW w:w="1024"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技术力量</w:t>
            </w:r>
          </w:p>
        </w:tc>
        <w:tc>
          <w:tcPr>
            <w:tcW w:w="305"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10</w:t>
            </w:r>
          </w:p>
        </w:tc>
        <w:tc>
          <w:tcPr>
            <w:tcW w:w="2588" w:type="pct"/>
            <w:gridSpan w:val="2"/>
            <w:vAlign w:val="center"/>
          </w:tcPr>
          <w:p w:rsidR="00464F61" w:rsidRDefault="00464F61" w:rsidP="00900DAC">
            <w:pPr>
              <w:spacing w:line="240" w:lineRule="exact"/>
              <w:jc w:val="left"/>
              <w:rPr>
                <w:rFonts w:ascii="楷体" w:eastAsia="楷体" w:hAnsi="楷体" w:cs="楷体"/>
                <w:sz w:val="24"/>
              </w:rPr>
            </w:pPr>
            <w:r>
              <w:rPr>
                <w:rFonts w:ascii="楷体" w:eastAsia="楷体" w:hAnsi="楷体" w:cs="楷体" w:hint="eastAsia"/>
                <w:sz w:val="24"/>
              </w:rPr>
              <w:t>具有2个及以上畜牧兽医专业技术人员，且至少包含1名兽医技术人员的得满分，无兽医技术人员的扣1分；每缺少1个专业技术人员扣3分。</w:t>
            </w:r>
          </w:p>
        </w:tc>
        <w:tc>
          <w:tcPr>
            <w:tcW w:w="438" w:type="pct"/>
            <w:vAlign w:val="center"/>
          </w:tcPr>
          <w:p w:rsidR="00464F61" w:rsidRDefault="00464F61" w:rsidP="00900DAC">
            <w:pPr>
              <w:spacing w:line="260" w:lineRule="exact"/>
              <w:jc w:val="center"/>
              <w:rPr>
                <w:rFonts w:ascii="楷体" w:eastAsia="楷体" w:hAnsi="楷体" w:cs="楷体"/>
                <w:sz w:val="24"/>
              </w:rPr>
            </w:pPr>
          </w:p>
        </w:tc>
        <w:tc>
          <w:tcPr>
            <w:tcW w:w="287" w:type="pct"/>
            <w:vAlign w:val="center"/>
          </w:tcPr>
          <w:p w:rsidR="00464F61" w:rsidRDefault="00464F61" w:rsidP="00900DAC">
            <w:pPr>
              <w:spacing w:line="260" w:lineRule="exact"/>
              <w:jc w:val="center"/>
              <w:rPr>
                <w:rFonts w:ascii="楷体" w:eastAsia="楷体" w:hAnsi="楷体" w:cs="楷体"/>
                <w:sz w:val="24"/>
              </w:rPr>
            </w:pPr>
          </w:p>
        </w:tc>
      </w:tr>
      <w:tr w:rsidR="00464F61" w:rsidTr="00900DAC">
        <w:trPr>
          <w:jc w:val="center"/>
        </w:trPr>
        <w:tc>
          <w:tcPr>
            <w:tcW w:w="357" w:type="pct"/>
            <w:vAlign w:val="center"/>
          </w:tcPr>
          <w:p w:rsidR="00464F61" w:rsidRDefault="00464F61" w:rsidP="00900DAC">
            <w:pPr>
              <w:spacing w:line="260" w:lineRule="exact"/>
              <w:jc w:val="center"/>
              <w:rPr>
                <w:rFonts w:ascii="Calibri" w:eastAsia="宋体" w:hAnsi="Calibri"/>
                <w:sz w:val="24"/>
              </w:rPr>
            </w:pPr>
            <w:r>
              <w:rPr>
                <w:rFonts w:ascii="Calibri" w:eastAsia="宋体" w:hAnsi="Calibri" w:hint="eastAsia"/>
                <w:sz w:val="24"/>
              </w:rPr>
              <w:t>5</w:t>
            </w:r>
          </w:p>
        </w:tc>
        <w:tc>
          <w:tcPr>
            <w:tcW w:w="1024"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系谱资料及</w:t>
            </w:r>
          </w:p>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各类记录</w:t>
            </w:r>
          </w:p>
        </w:tc>
        <w:tc>
          <w:tcPr>
            <w:tcW w:w="305" w:type="pct"/>
            <w:vAlign w:val="center"/>
          </w:tcPr>
          <w:p w:rsidR="00464F61" w:rsidRDefault="00464F61" w:rsidP="00900DAC">
            <w:pPr>
              <w:spacing w:line="260" w:lineRule="exact"/>
              <w:jc w:val="center"/>
              <w:rPr>
                <w:rFonts w:ascii="楷体" w:eastAsia="楷体" w:hAnsi="楷体" w:cs="楷体"/>
                <w:sz w:val="24"/>
              </w:rPr>
            </w:pPr>
            <w:r>
              <w:rPr>
                <w:rFonts w:ascii="楷体" w:eastAsia="楷体" w:hAnsi="楷体" w:cs="楷体" w:hint="eastAsia"/>
                <w:sz w:val="24"/>
              </w:rPr>
              <w:t>20</w:t>
            </w:r>
          </w:p>
        </w:tc>
        <w:tc>
          <w:tcPr>
            <w:tcW w:w="2588" w:type="pct"/>
            <w:gridSpan w:val="2"/>
            <w:vAlign w:val="center"/>
          </w:tcPr>
          <w:p w:rsidR="00464F61" w:rsidRDefault="00464F61" w:rsidP="00900DAC">
            <w:pPr>
              <w:spacing w:line="240" w:lineRule="exact"/>
              <w:jc w:val="left"/>
              <w:rPr>
                <w:rFonts w:ascii="楷体" w:eastAsia="楷体" w:hAnsi="楷体" w:cs="楷体"/>
                <w:sz w:val="24"/>
              </w:rPr>
            </w:pPr>
            <w:r>
              <w:rPr>
                <w:rFonts w:ascii="楷体" w:eastAsia="楷体" w:hAnsi="楷体" w:cs="楷体" w:hint="eastAsia"/>
                <w:sz w:val="24"/>
              </w:rPr>
              <w:t>核心群系谱满分10分</w:t>
            </w:r>
            <w:r>
              <w:rPr>
                <w:rFonts w:ascii="楷体" w:eastAsia="楷体" w:hAnsi="楷体" w:cs="楷体"/>
                <w:sz w:val="24"/>
              </w:rPr>
              <w:t>，</w:t>
            </w:r>
            <w:r>
              <w:rPr>
                <w:rFonts w:ascii="楷体" w:eastAsia="楷体" w:hAnsi="楷体" w:cs="楷体" w:hint="eastAsia"/>
                <w:sz w:val="24"/>
              </w:rPr>
              <w:t>缺1份扣2分；3年内配种、产犊（孵化）、消毒、免疫、疫病检测、投入品等满分10分</w:t>
            </w:r>
            <w:r>
              <w:rPr>
                <w:rFonts w:ascii="楷体" w:eastAsia="楷体" w:hAnsi="楷体" w:cs="楷体"/>
                <w:sz w:val="24"/>
              </w:rPr>
              <w:t>，</w:t>
            </w:r>
            <w:r>
              <w:rPr>
                <w:rFonts w:ascii="楷体" w:eastAsia="楷体" w:hAnsi="楷体" w:cs="楷体" w:hint="eastAsia"/>
                <w:sz w:val="24"/>
              </w:rPr>
              <w:t>每一类每少2个月记录扣1分。</w:t>
            </w:r>
          </w:p>
        </w:tc>
        <w:tc>
          <w:tcPr>
            <w:tcW w:w="438" w:type="pct"/>
            <w:vAlign w:val="center"/>
          </w:tcPr>
          <w:p w:rsidR="00464F61" w:rsidRDefault="00464F61" w:rsidP="00900DAC">
            <w:pPr>
              <w:spacing w:line="260" w:lineRule="exact"/>
              <w:jc w:val="center"/>
              <w:rPr>
                <w:rFonts w:ascii="楷体" w:eastAsia="楷体" w:hAnsi="楷体" w:cs="楷体"/>
                <w:sz w:val="24"/>
              </w:rPr>
            </w:pPr>
          </w:p>
        </w:tc>
        <w:tc>
          <w:tcPr>
            <w:tcW w:w="287" w:type="pct"/>
            <w:vAlign w:val="center"/>
          </w:tcPr>
          <w:p w:rsidR="00464F61" w:rsidRDefault="00464F61" w:rsidP="00900DAC">
            <w:pPr>
              <w:spacing w:line="260" w:lineRule="exact"/>
              <w:jc w:val="center"/>
              <w:rPr>
                <w:rFonts w:ascii="楷体" w:eastAsia="楷体" w:hAnsi="楷体" w:cs="楷体"/>
                <w:sz w:val="24"/>
              </w:rPr>
            </w:pPr>
          </w:p>
        </w:tc>
      </w:tr>
      <w:tr w:rsidR="00464F61" w:rsidTr="00900DAC">
        <w:trPr>
          <w:jc w:val="center"/>
        </w:trPr>
        <w:tc>
          <w:tcPr>
            <w:tcW w:w="357"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sz w:val="24"/>
              </w:rPr>
              <w:t>6</w:t>
            </w:r>
          </w:p>
        </w:tc>
        <w:tc>
          <w:tcPr>
            <w:tcW w:w="1024"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管理制度、技术标准（规程）</w:t>
            </w:r>
          </w:p>
        </w:tc>
        <w:tc>
          <w:tcPr>
            <w:tcW w:w="305"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sz w:val="24"/>
              </w:rPr>
              <w:t>10</w:t>
            </w:r>
          </w:p>
        </w:tc>
        <w:tc>
          <w:tcPr>
            <w:tcW w:w="2588" w:type="pct"/>
            <w:gridSpan w:val="2"/>
            <w:vAlign w:val="center"/>
          </w:tcPr>
          <w:p w:rsidR="00464F61" w:rsidRPr="00B21ACC" w:rsidRDefault="00464F61" w:rsidP="00900DAC">
            <w:pPr>
              <w:spacing w:line="240" w:lineRule="exact"/>
              <w:jc w:val="center"/>
              <w:rPr>
                <w:rFonts w:ascii="楷体" w:eastAsia="楷体" w:hAnsi="楷体" w:cs="楷体"/>
                <w:sz w:val="24"/>
              </w:rPr>
            </w:pPr>
            <w:r w:rsidRPr="00B21ACC">
              <w:rPr>
                <w:rFonts w:ascii="楷体" w:eastAsia="楷体" w:hAnsi="楷体" w:cs="楷体" w:hint="eastAsia"/>
                <w:sz w:val="24"/>
              </w:rPr>
              <w:t>保种方案、各阶段饲养、繁育、测定、安全、防疫等管理制度，缺少一项扣2分；饲养、繁育、免疫、疫病监测净化等技术标准（规程）缺少一类扣2分。扣完为止。</w:t>
            </w:r>
          </w:p>
        </w:tc>
        <w:tc>
          <w:tcPr>
            <w:tcW w:w="438" w:type="pct"/>
            <w:vAlign w:val="center"/>
          </w:tcPr>
          <w:p w:rsidR="00464F61" w:rsidRPr="00B21ACC" w:rsidRDefault="00464F61" w:rsidP="00900DAC">
            <w:pPr>
              <w:spacing w:line="260" w:lineRule="exact"/>
              <w:jc w:val="center"/>
              <w:rPr>
                <w:rFonts w:ascii="楷体" w:eastAsia="楷体" w:hAnsi="楷体" w:cs="楷体"/>
                <w:sz w:val="24"/>
              </w:rPr>
            </w:pPr>
          </w:p>
        </w:tc>
        <w:tc>
          <w:tcPr>
            <w:tcW w:w="287" w:type="pct"/>
            <w:vAlign w:val="center"/>
          </w:tcPr>
          <w:p w:rsidR="00464F61" w:rsidRPr="00B21ACC" w:rsidRDefault="00464F61" w:rsidP="00900DAC">
            <w:pPr>
              <w:spacing w:line="260" w:lineRule="exact"/>
              <w:jc w:val="center"/>
              <w:rPr>
                <w:rFonts w:ascii="楷体" w:eastAsia="楷体" w:hAnsi="楷体" w:cs="楷体"/>
                <w:sz w:val="24"/>
              </w:rPr>
            </w:pPr>
          </w:p>
        </w:tc>
      </w:tr>
      <w:tr w:rsidR="00464F61" w:rsidTr="00900DAC">
        <w:trPr>
          <w:trHeight w:hRule="exact" w:val="454"/>
          <w:jc w:val="center"/>
        </w:trPr>
        <w:tc>
          <w:tcPr>
            <w:tcW w:w="357"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sz w:val="24"/>
              </w:rPr>
              <w:t>7</w:t>
            </w:r>
          </w:p>
        </w:tc>
        <w:tc>
          <w:tcPr>
            <w:tcW w:w="1024"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资金支出</w:t>
            </w:r>
          </w:p>
        </w:tc>
        <w:tc>
          <w:tcPr>
            <w:tcW w:w="305"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sz w:val="24"/>
              </w:rPr>
              <w:t>5</w:t>
            </w:r>
          </w:p>
        </w:tc>
        <w:tc>
          <w:tcPr>
            <w:tcW w:w="2588" w:type="pct"/>
            <w:gridSpan w:val="2"/>
            <w:vAlign w:val="center"/>
          </w:tcPr>
          <w:p w:rsidR="00464F61" w:rsidRPr="00B21ACC" w:rsidRDefault="00464F61" w:rsidP="00900DAC">
            <w:pPr>
              <w:spacing w:line="260" w:lineRule="exact"/>
              <w:jc w:val="left"/>
              <w:rPr>
                <w:rFonts w:ascii="楷体" w:eastAsia="楷体" w:hAnsi="楷体" w:cs="楷体"/>
                <w:sz w:val="24"/>
              </w:rPr>
            </w:pPr>
            <w:r w:rsidRPr="00B21ACC">
              <w:rPr>
                <w:rFonts w:ascii="楷体" w:eastAsia="楷体" w:hAnsi="楷体" w:cs="楷体" w:hint="eastAsia"/>
                <w:sz w:val="24"/>
              </w:rPr>
              <w:t>支出合理、独立建账，无违规情况。</w:t>
            </w:r>
          </w:p>
        </w:tc>
        <w:tc>
          <w:tcPr>
            <w:tcW w:w="438" w:type="pct"/>
            <w:vAlign w:val="center"/>
          </w:tcPr>
          <w:p w:rsidR="00464F61" w:rsidRPr="00B21ACC" w:rsidRDefault="00464F61" w:rsidP="00900DAC">
            <w:pPr>
              <w:spacing w:line="260" w:lineRule="exact"/>
              <w:jc w:val="center"/>
              <w:rPr>
                <w:rFonts w:ascii="楷体" w:eastAsia="楷体" w:hAnsi="楷体" w:cs="楷体"/>
                <w:sz w:val="24"/>
              </w:rPr>
            </w:pPr>
          </w:p>
        </w:tc>
        <w:tc>
          <w:tcPr>
            <w:tcW w:w="287" w:type="pct"/>
            <w:vAlign w:val="center"/>
          </w:tcPr>
          <w:p w:rsidR="00464F61" w:rsidRPr="00B21ACC" w:rsidRDefault="00464F61" w:rsidP="00900DAC">
            <w:pPr>
              <w:spacing w:line="260" w:lineRule="exact"/>
              <w:jc w:val="center"/>
              <w:rPr>
                <w:rFonts w:ascii="楷体" w:eastAsia="楷体" w:hAnsi="楷体" w:cs="楷体"/>
                <w:sz w:val="24"/>
              </w:rPr>
            </w:pPr>
          </w:p>
        </w:tc>
      </w:tr>
      <w:tr w:rsidR="00464F61" w:rsidTr="00900DAC">
        <w:trPr>
          <w:trHeight w:val="1058"/>
          <w:jc w:val="center"/>
        </w:trPr>
        <w:tc>
          <w:tcPr>
            <w:tcW w:w="357"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专家</w:t>
            </w:r>
          </w:p>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综评</w:t>
            </w:r>
          </w:p>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及建议</w:t>
            </w:r>
          </w:p>
        </w:tc>
        <w:tc>
          <w:tcPr>
            <w:tcW w:w="3917" w:type="pct"/>
            <w:gridSpan w:val="4"/>
            <w:vAlign w:val="center"/>
          </w:tcPr>
          <w:p w:rsidR="00464F61" w:rsidRPr="00B21ACC" w:rsidRDefault="00464F61" w:rsidP="00900DAC">
            <w:pPr>
              <w:spacing w:line="260" w:lineRule="exact"/>
              <w:jc w:val="center"/>
              <w:rPr>
                <w:rFonts w:ascii="楷体" w:eastAsia="楷体" w:hAnsi="楷体" w:cs="楷体"/>
                <w:sz w:val="24"/>
              </w:rPr>
            </w:pPr>
          </w:p>
          <w:p w:rsidR="00464F61" w:rsidRPr="00B21ACC" w:rsidRDefault="00464F61" w:rsidP="00900DAC">
            <w:pPr>
              <w:spacing w:line="260" w:lineRule="exact"/>
              <w:jc w:val="center"/>
              <w:rPr>
                <w:rFonts w:ascii="楷体" w:eastAsia="楷体" w:hAnsi="楷体" w:cs="楷体"/>
                <w:sz w:val="24"/>
              </w:rPr>
            </w:pPr>
          </w:p>
        </w:tc>
        <w:tc>
          <w:tcPr>
            <w:tcW w:w="438"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合计</w:t>
            </w:r>
          </w:p>
        </w:tc>
        <w:tc>
          <w:tcPr>
            <w:tcW w:w="287" w:type="pct"/>
            <w:vAlign w:val="center"/>
          </w:tcPr>
          <w:p w:rsidR="00464F61" w:rsidRPr="00B21ACC" w:rsidRDefault="00464F61" w:rsidP="00900DAC">
            <w:pPr>
              <w:spacing w:line="260" w:lineRule="exact"/>
              <w:jc w:val="center"/>
              <w:rPr>
                <w:rFonts w:ascii="楷体" w:eastAsia="楷体" w:hAnsi="楷体" w:cs="楷体"/>
                <w:sz w:val="24"/>
              </w:rPr>
            </w:pPr>
          </w:p>
        </w:tc>
      </w:tr>
      <w:tr w:rsidR="00464F61" w:rsidTr="00900DAC">
        <w:trPr>
          <w:trHeight w:val="325"/>
          <w:jc w:val="center"/>
        </w:trPr>
        <w:tc>
          <w:tcPr>
            <w:tcW w:w="357"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评估</w:t>
            </w:r>
          </w:p>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等级</w:t>
            </w:r>
          </w:p>
        </w:tc>
        <w:tc>
          <w:tcPr>
            <w:tcW w:w="1024" w:type="pct"/>
            <w:vAlign w:val="center"/>
          </w:tcPr>
          <w:p w:rsidR="00464F61" w:rsidRPr="00B21ACC" w:rsidRDefault="00464F61" w:rsidP="00900DAC">
            <w:pPr>
              <w:spacing w:line="260" w:lineRule="exact"/>
              <w:jc w:val="center"/>
              <w:rPr>
                <w:rFonts w:ascii="楷体" w:eastAsia="楷体" w:hAnsi="楷体" w:cs="楷体"/>
                <w:sz w:val="24"/>
              </w:rPr>
            </w:pPr>
          </w:p>
        </w:tc>
        <w:tc>
          <w:tcPr>
            <w:tcW w:w="305" w:type="pct"/>
            <w:vAlign w:val="center"/>
          </w:tcPr>
          <w:p w:rsidR="00464F61" w:rsidRPr="00B21ACC" w:rsidRDefault="00464F61" w:rsidP="00900DAC">
            <w:pPr>
              <w:spacing w:line="260" w:lineRule="exact"/>
              <w:jc w:val="center"/>
              <w:rPr>
                <w:rFonts w:ascii="楷体" w:eastAsia="楷体" w:hAnsi="楷体" w:cs="楷体"/>
                <w:sz w:val="24"/>
              </w:rPr>
            </w:pPr>
            <w:r w:rsidRPr="00B21ACC">
              <w:rPr>
                <w:rFonts w:ascii="楷体" w:eastAsia="楷体" w:hAnsi="楷体" w:cs="楷体" w:hint="eastAsia"/>
                <w:sz w:val="24"/>
              </w:rPr>
              <w:t>专家签字</w:t>
            </w:r>
          </w:p>
        </w:tc>
        <w:tc>
          <w:tcPr>
            <w:tcW w:w="3313" w:type="pct"/>
            <w:gridSpan w:val="4"/>
            <w:vAlign w:val="center"/>
          </w:tcPr>
          <w:p w:rsidR="00464F61" w:rsidRPr="00B21ACC" w:rsidRDefault="00464F61" w:rsidP="00900DAC">
            <w:pPr>
              <w:spacing w:line="260" w:lineRule="exact"/>
              <w:jc w:val="center"/>
              <w:rPr>
                <w:rFonts w:ascii="楷体" w:eastAsia="楷体" w:hAnsi="楷体" w:cs="楷体"/>
                <w:sz w:val="24"/>
              </w:rPr>
            </w:pPr>
          </w:p>
          <w:p w:rsidR="00464F61" w:rsidRPr="00B21ACC" w:rsidRDefault="00464F61" w:rsidP="00900DAC">
            <w:pPr>
              <w:spacing w:line="260" w:lineRule="exact"/>
              <w:jc w:val="center"/>
              <w:rPr>
                <w:rFonts w:ascii="楷体" w:eastAsia="楷体" w:hAnsi="楷体" w:cs="楷体"/>
                <w:sz w:val="24"/>
              </w:rPr>
            </w:pPr>
          </w:p>
        </w:tc>
      </w:tr>
    </w:tbl>
    <w:p w:rsidR="00464F61" w:rsidRDefault="00464F61" w:rsidP="00464F61">
      <w:pPr>
        <w:pStyle w:val="Normalb797bdc4"/>
        <w:spacing w:line="240" w:lineRule="exact"/>
        <w:ind w:left="420" w:hangingChars="200" w:hanging="420"/>
        <w:rPr>
          <w:rFonts w:ascii="楷体" w:eastAsia="楷体" w:hAnsi="楷体" w:cs="楷体"/>
          <w:szCs w:val="21"/>
        </w:rPr>
      </w:pPr>
      <w:r>
        <w:rPr>
          <w:rFonts w:ascii="楷体" w:eastAsia="楷体" w:hAnsi="楷体" w:cs="楷体" w:hint="eastAsia"/>
          <w:szCs w:val="21"/>
        </w:rPr>
        <w:t>注：1.</w:t>
      </w:r>
      <w:r w:rsidRPr="00B21ACC">
        <w:rPr>
          <w:rFonts w:ascii="楷体" w:eastAsia="楷体" w:hAnsi="楷体" w:cs="楷体" w:hint="eastAsia"/>
          <w:spacing w:val="-6"/>
          <w:szCs w:val="21"/>
        </w:rPr>
        <w:t>专家综评及建议：围绕单位资质、种群状况、管理规范程度等简要评价并给出建议。</w:t>
      </w:r>
      <w:r>
        <w:rPr>
          <w:rFonts w:ascii="楷体" w:eastAsia="楷体" w:hAnsi="楷体" w:cs="楷体" w:hint="eastAsia"/>
          <w:szCs w:val="21"/>
        </w:rPr>
        <w:t xml:space="preserve">   </w:t>
      </w:r>
    </w:p>
    <w:p w:rsidR="001E7F68" w:rsidRPr="00464F61" w:rsidRDefault="00464F61" w:rsidP="001F7472">
      <w:pPr>
        <w:pStyle w:val="Normalb797bdc4"/>
        <w:widowControl w:val="0"/>
        <w:numPr>
          <w:ilvl w:val="0"/>
          <w:numId w:val="1"/>
        </w:numPr>
        <w:spacing w:before="0" w:beforeAutospacing="0" w:after="0" w:afterAutospacing="0" w:line="240" w:lineRule="exact"/>
        <w:ind w:firstLine="420"/>
        <w:rPr>
          <w:rFonts w:ascii="楷体" w:eastAsia="楷体" w:hAnsi="楷体" w:cs="楷体"/>
          <w:szCs w:val="21"/>
        </w:rPr>
      </w:pPr>
      <w:r>
        <w:rPr>
          <w:rFonts w:ascii="楷体" w:eastAsia="楷体" w:hAnsi="楷体" w:cs="楷体" w:hint="eastAsia"/>
          <w:szCs w:val="21"/>
        </w:rPr>
        <w:t>评估等级：90分及以上A级；70-89分为B级；70分以下为C级。</w:t>
      </w:r>
    </w:p>
    <w:sectPr w:rsidR="001E7F68" w:rsidRPr="00464F61" w:rsidSect="00464F61">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512" w:rsidRDefault="00437512" w:rsidP="00C40754">
      <w:r>
        <w:separator/>
      </w:r>
    </w:p>
  </w:endnote>
  <w:endnote w:type="continuationSeparator" w:id="0">
    <w:p w:rsidR="00437512" w:rsidRDefault="00437512" w:rsidP="00C407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512" w:rsidRDefault="00437512" w:rsidP="00C40754">
      <w:r>
        <w:separator/>
      </w:r>
    </w:p>
  </w:footnote>
  <w:footnote w:type="continuationSeparator" w:id="0">
    <w:p w:rsidR="00437512" w:rsidRDefault="00437512" w:rsidP="00C40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FDD"/>
    <w:multiLevelType w:val="singleLevel"/>
    <w:tmpl w:val="07C71FDD"/>
    <w:lvl w:ilvl="0">
      <w:start w:val="2"/>
      <w:numFmt w:val="decimal"/>
      <w:lvlText w:val="%1."/>
      <w:lvlJc w:val="left"/>
      <w:pPr>
        <w:tabs>
          <w:tab w:val="left" w:pos="312"/>
        </w:tabs>
        <w:ind w:left="474"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4F61"/>
    <w:rsid w:val="001E7F68"/>
    <w:rsid w:val="001F7472"/>
    <w:rsid w:val="00377F4F"/>
    <w:rsid w:val="00437512"/>
    <w:rsid w:val="00464F61"/>
    <w:rsid w:val="005D3908"/>
    <w:rsid w:val="00C40754"/>
    <w:rsid w:val="00F87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F6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b797bdc4">
    <w:name w:val="Normalb797bdc4"/>
    <w:qFormat/>
    <w:rsid w:val="00464F61"/>
    <w:pPr>
      <w:spacing w:before="100" w:beforeAutospacing="1" w:after="100" w:afterAutospacing="1" w:line="432" w:lineRule="atLeast"/>
      <w:ind w:firstLineChars="200" w:firstLine="200"/>
    </w:pPr>
  </w:style>
  <w:style w:type="table" w:customStyle="1" w:styleId="NormalTable79ec54aa">
    <w:name w:val="Normal Table79ec54aa"/>
    <w:uiPriority w:val="99"/>
    <w:semiHidden/>
    <w:unhideWhenUsed/>
    <w:qFormat/>
    <w:rsid w:val="00464F61"/>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styleId="a3">
    <w:name w:val="header"/>
    <w:basedOn w:val="a"/>
    <w:link w:val="Char"/>
    <w:uiPriority w:val="99"/>
    <w:semiHidden/>
    <w:unhideWhenUsed/>
    <w:rsid w:val="00C407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0754"/>
    <w:rPr>
      <w:rFonts w:ascii="Times New Roman" w:eastAsia="仿宋_GB2312" w:hAnsi="Times New Roman" w:cs="Times New Roman"/>
      <w:sz w:val="18"/>
      <w:szCs w:val="18"/>
    </w:rPr>
  </w:style>
  <w:style w:type="paragraph" w:styleId="a4">
    <w:name w:val="footer"/>
    <w:basedOn w:val="a"/>
    <w:link w:val="Char0"/>
    <w:uiPriority w:val="99"/>
    <w:semiHidden/>
    <w:unhideWhenUsed/>
    <w:rsid w:val="00C407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075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3</cp:revision>
  <dcterms:created xsi:type="dcterms:W3CDTF">2025-03-10T06:41:00Z</dcterms:created>
  <dcterms:modified xsi:type="dcterms:W3CDTF">2025-03-10T07:11:00Z</dcterms:modified>
</cp:coreProperties>
</file>