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suppressAutoHyphens/>
        <w:snapToGrid w:val="0"/>
        <w:spacing w:before="0" w:beforeAutospacing="0" w:after="312" w:afterLines="100" w:afterAutospacing="0" w:line="620" w:lineRule="exact"/>
        <w:ind w:left="0" w:right="0"/>
        <w:jc w:val="both"/>
        <w:rPr>
          <w:rFonts w:hint="default" w:ascii="方正黑体_GBK" w:hAnsi="方正黑体_GBK" w:eastAsia="方正黑体_GBK" w:cs="方正黑体_GBK"/>
          <w:bCs/>
          <w:kern w:val="2"/>
          <w:sz w:val="32"/>
          <w:szCs w:val="32"/>
        </w:rPr>
      </w:pPr>
      <w:r>
        <w:rPr>
          <w:rFonts w:hint="eastAsia" w:ascii="黑体" w:hAnsi="黑体" w:eastAsia="黑体" w:cs="黑体"/>
          <w:bCs/>
          <w:kern w:val="2"/>
          <w:sz w:val="32"/>
          <w:szCs w:val="32"/>
          <w:lang w:val="en-US" w:eastAsia="zh-CN" w:bidi="ar"/>
        </w:rPr>
        <w:t>附件</w:t>
      </w:r>
    </w:p>
    <w:p>
      <w:pPr>
        <w:pStyle w:val="4"/>
        <w:keepNext w:val="0"/>
        <w:keepLines w:val="0"/>
        <w:widowControl w:val="0"/>
        <w:suppressLineNumbers w:val="0"/>
        <w:spacing w:before="0" w:beforeAutospacing="0" w:after="0" w:afterAutospacing="0" w:line="620" w:lineRule="exact"/>
        <w:ind w:left="0" w:right="0"/>
        <w:jc w:val="center"/>
        <w:rPr>
          <w:rFonts w:hint="default" w:ascii="方正小标宋简体" w:hAnsi="方正小标宋简体" w:eastAsia="方正小标宋简体" w:cs="方正小标宋简体"/>
          <w:kern w:val="2"/>
          <w:sz w:val="44"/>
          <w:szCs w:val="44"/>
          <w:lang w:val="en-US" w:eastAsia="zh-CN" w:bidi="ar"/>
        </w:rPr>
      </w:pPr>
      <w:r>
        <w:rPr>
          <w:rFonts w:hint="default" w:ascii="方正小标宋简体" w:hAnsi="方正小标宋简体" w:eastAsia="方正小标宋简体" w:cs="方正小标宋简体"/>
          <w:kern w:val="2"/>
          <w:sz w:val="44"/>
          <w:szCs w:val="44"/>
          <w:lang w:val="en-US" w:eastAsia="zh-CN" w:bidi="ar"/>
        </w:rPr>
        <w:t>供东部区生猪跨大区“点对点”调运</w:t>
      </w:r>
    </w:p>
    <w:p>
      <w:pPr>
        <w:pStyle w:val="4"/>
        <w:keepNext w:val="0"/>
        <w:keepLines w:val="0"/>
        <w:widowControl w:val="0"/>
        <w:suppressLineNumbers w:val="0"/>
        <w:spacing w:before="0" w:beforeAutospacing="0" w:after="0" w:afterAutospacing="0" w:line="620" w:lineRule="exact"/>
        <w:ind w:left="0" w:right="0"/>
        <w:jc w:val="center"/>
        <w:rPr>
          <w:rFonts w:hint="default" w:ascii="方正小标宋简体" w:hAnsi="方正小标宋简体" w:eastAsia="方正小标宋简体" w:cs="方正小标宋简体"/>
          <w:kern w:val="2"/>
          <w:sz w:val="44"/>
          <w:szCs w:val="44"/>
        </w:rPr>
      </w:pPr>
      <w:r>
        <w:rPr>
          <w:rFonts w:hint="default" w:ascii="方正小标宋简体" w:hAnsi="方正小标宋简体" w:eastAsia="方正小标宋简体" w:cs="方正小标宋简体"/>
          <w:kern w:val="2"/>
          <w:sz w:val="44"/>
          <w:szCs w:val="44"/>
          <w:lang w:val="en-US" w:eastAsia="zh-CN" w:bidi="ar"/>
        </w:rPr>
        <w:t>管理实施细则</w:t>
      </w:r>
    </w:p>
    <w:p>
      <w:pPr>
        <w:pStyle w:val="4"/>
        <w:keepNext w:val="0"/>
        <w:keepLines w:val="0"/>
        <w:widowControl w:val="0"/>
        <w:suppressLineNumbers w:val="0"/>
        <w:spacing w:before="0" w:beforeAutospacing="0" w:after="0" w:afterAutospacing="0" w:line="620" w:lineRule="exact"/>
        <w:ind w:left="0" w:right="0" w:firstLine="640" w:firstLineChars="200"/>
        <w:jc w:val="center"/>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pPr>
        <w:pStyle w:val="4"/>
        <w:keepNext w:val="0"/>
        <w:keepLines w:val="0"/>
        <w:widowControl w:val="0"/>
        <w:suppressLineNumbers w:val="0"/>
        <w:suppressAutoHyphens/>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为进一步加强区域协调，落实非洲猪瘟常态化防控工作机制，调入东部区屠宰用生猪按照“统一标准、区域管理、统一发布、动态调整”原则实行调运管理，保障区域内生猪产业健康发展和市场供应稳定，制定本实施细则。</w:t>
      </w:r>
    </w:p>
    <w:p>
      <w:pPr>
        <w:pStyle w:val="4"/>
        <w:keepNext w:val="0"/>
        <w:keepLines w:val="0"/>
        <w:widowControl w:val="0"/>
        <w:suppressLineNumbers w:val="0"/>
        <w:suppressAutoHyphens/>
        <w:adjustRightInd w:val="0"/>
        <w:snapToGrid w:val="0"/>
        <w:spacing w:before="0" w:beforeAutospacing="0" w:after="0" w:afterAutospacing="0" w:line="620" w:lineRule="exact"/>
        <w:ind w:left="0" w:right="0" w:firstLine="645"/>
        <w:jc w:val="both"/>
        <w:rPr>
          <w:rFonts w:hint="default" w:ascii="黑体" w:hAnsi="宋体" w:eastAsia="黑体" w:cs="仿宋"/>
          <w:b/>
          <w:bCs w:val="0"/>
          <w:kern w:val="2"/>
          <w:sz w:val="32"/>
          <w:szCs w:val="32"/>
        </w:rPr>
      </w:pPr>
      <w:r>
        <w:rPr>
          <w:rFonts w:hint="default" w:ascii="黑体" w:hAnsi="宋体" w:eastAsia="黑体" w:cs="黑体"/>
          <w:bCs/>
          <w:kern w:val="2"/>
          <w:sz w:val="32"/>
          <w:szCs w:val="32"/>
          <w:lang w:val="en-US" w:eastAsia="zh-CN" w:bidi="ar"/>
        </w:rPr>
        <w:t>一、跨大区“点对点”调运管理实施时间和范围</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default" w:ascii="楷体_GB2312" w:hAnsi="宋体" w:eastAsia="楷体_GB2312" w:cs="楷体_GB2312"/>
          <w:bCs/>
          <w:kern w:val="2"/>
          <w:sz w:val="32"/>
          <w:szCs w:val="32"/>
          <w:lang w:val="en-US" w:eastAsia="zh-CN" w:bidi="ar"/>
        </w:rPr>
        <w:t>（一）实施时间：</w:t>
      </w:r>
      <w:r>
        <w:rPr>
          <w:rFonts w:hint="eastAsia" w:ascii="仿宋_GB2312" w:hAnsi="仿宋_GB2312" w:eastAsia="仿宋_GB2312" w:cs="仿宋_GB2312"/>
          <w:kern w:val="2"/>
          <w:sz w:val="32"/>
          <w:szCs w:val="32"/>
          <w:lang w:val="en-US" w:eastAsia="zh-CN" w:bidi="ar"/>
        </w:rPr>
        <w:t>2023年12月1日开始至2025年11月30日。</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default" w:ascii="楷体_GB2312" w:hAnsi="宋体" w:eastAsia="楷体_GB2312" w:cs="楷体_GB2312"/>
          <w:bCs/>
          <w:kern w:val="2"/>
          <w:sz w:val="32"/>
          <w:szCs w:val="32"/>
          <w:lang w:val="en-US" w:eastAsia="zh-CN" w:bidi="ar"/>
        </w:rPr>
        <w:t>（二）实施区域：</w:t>
      </w:r>
      <w:r>
        <w:rPr>
          <w:rFonts w:hint="eastAsia" w:ascii="仿宋_GB2312" w:hAnsi="仿宋_GB2312" w:eastAsia="仿宋_GB2312" w:cs="仿宋_GB2312"/>
          <w:kern w:val="2"/>
          <w:sz w:val="32"/>
          <w:szCs w:val="32"/>
          <w:lang w:val="en-US" w:eastAsia="zh-CN" w:bidi="ar"/>
        </w:rPr>
        <w:t>东部区江苏、浙江、安徽、山东、河南五省。</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default" w:ascii="楷体_GB2312" w:hAnsi="宋体" w:eastAsia="楷体_GB2312" w:cs="楷体_GB2312"/>
          <w:bCs/>
          <w:kern w:val="2"/>
          <w:sz w:val="32"/>
          <w:szCs w:val="32"/>
          <w:lang w:val="en-US" w:eastAsia="zh-CN" w:bidi="ar"/>
        </w:rPr>
        <w:t>（三）调运管理范围：</w:t>
      </w:r>
      <w:r>
        <w:rPr>
          <w:rFonts w:hint="eastAsia" w:ascii="仿宋_GB2312" w:hAnsi="仿宋_GB2312" w:eastAsia="仿宋_GB2312" w:cs="仿宋_GB2312"/>
          <w:kern w:val="2"/>
          <w:sz w:val="32"/>
          <w:szCs w:val="32"/>
          <w:lang w:val="en-US" w:eastAsia="zh-CN" w:bidi="ar"/>
        </w:rPr>
        <w:t>除种猪、仔猪（重量在30公斤及以下且用于育肥）、非洲猪瘟等重大动物疫病无疫区和无疫小区生猪外，东部区之外超过30公斤的商品猪禁止调入东部区育肥，需进入东部区屠宰用生猪，其养殖企业经登记后方可调运至东部区内定点屠宰企业。</w:t>
      </w:r>
    </w:p>
    <w:p>
      <w:pPr>
        <w:pStyle w:val="4"/>
        <w:keepNext w:val="0"/>
        <w:keepLines w:val="0"/>
        <w:widowControl w:val="0"/>
        <w:suppressLineNumbers w:val="0"/>
        <w:suppressAutoHyphens/>
        <w:adjustRightInd w:val="0"/>
        <w:snapToGrid w:val="0"/>
        <w:spacing w:before="0" w:beforeAutospacing="0" w:after="0" w:afterAutospacing="0" w:line="620" w:lineRule="exact"/>
        <w:ind w:left="0" w:right="0" w:firstLine="645"/>
        <w:jc w:val="both"/>
        <w:rPr>
          <w:rFonts w:hint="default" w:ascii="黑体" w:hAnsi="宋体" w:eastAsia="黑体" w:cs="仿宋"/>
          <w:bCs/>
          <w:kern w:val="2"/>
          <w:sz w:val="32"/>
          <w:szCs w:val="32"/>
        </w:rPr>
      </w:pPr>
      <w:r>
        <w:rPr>
          <w:rFonts w:hint="default" w:ascii="黑体" w:hAnsi="宋体" w:eastAsia="黑体" w:cs="黑体"/>
          <w:bCs/>
          <w:kern w:val="2"/>
          <w:sz w:val="32"/>
          <w:szCs w:val="32"/>
          <w:lang w:val="en-US" w:eastAsia="zh-CN" w:bidi="ar"/>
        </w:rPr>
        <w:t>二、调运条件</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default" w:ascii="楷体_GB2312" w:hAnsi="宋体" w:eastAsia="楷体_GB2312" w:cs="仿宋"/>
          <w:bCs/>
          <w:kern w:val="2"/>
          <w:sz w:val="32"/>
          <w:szCs w:val="32"/>
        </w:rPr>
      </w:pPr>
      <w:r>
        <w:rPr>
          <w:rFonts w:hint="default" w:ascii="楷体_GB2312" w:hAnsi="宋体" w:eastAsia="楷体_GB2312" w:cs="楷体_GB2312"/>
          <w:bCs/>
          <w:kern w:val="2"/>
          <w:sz w:val="32"/>
          <w:szCs w:val="32"/>
          <w:lang w:val="en-US" w:eastAsia="zh-CN" w:bidi="ar"/>
        </w:rPr>
        <w:t>（一）东部区外申请生猪“点对点”调运的养殖企业应当具备下列条件：</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1.生猪年出栏2000头以上；</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2.企业具有独立法人资格，取得《动物防疫条件合格证》；</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3.在县级农业农村（畜牧兽医）部门登记备案，录入直联直报信息平台，养殖档案规范；</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4.防疫管理制度健全，配备专职兽医人员，具有较高生物安全水平，过去3年内未发生重大动物疫情，年内无违法违规行为或不良记录；</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default" w:ascii="仿宋" w:hAnsi="仿宋" w:eastAsia="仿宋" w:cs="仿宋"/>
          <w:kern w:val="2"/>
          <w:sz w:val="32"/>
          <w:szCs w:val="32"/>
        </w:rPr>
      </w:pPr>
      <w:r>
        <w:rPr>
          <w:rFonts w:hint="eastAsia" w:ascii="仿宋_GB2312" w:hAnsi="仿宋_GB2312" w:eastAsia="仿宋_GB2312" w:cs="仿宋_GB2312"/>
          <w:kern w:val="2"/>
          <w:sz w:val="32"/>
          <w:szCs w:val="32"/>
          <w:lang w:val="en-US" w:eastAsia="zh-CN" w:bidi="ar"/>
        </w:rPr>
        <w:t>5.落实强制免疫要求，在部、省两级重大动物疫病抗体监测中，未出现低于国家规定标准的情形。</w:t>
      </w:r>
    </w:p>
    <w:p>
      <w:pPr>
        <w:pStyle w:val="4"/>
        <w:keepNext w:val="0"/>
        <w:keepLines w:val="0"/>
        <w:widowControl w:val="0"/>
        <w:suppressLineNumbers w:val="0"/>
        <w:spacing w:before="0" w:beforeAutospacing="0" w:after="0" w:afterAutospacing="0" w:line="620" w:lineRule="exact"/>
        <w:ind w:left="0" w:right="0" w:firstLine="640" w:firstLineChars="200"/>
        <w:jc w:val="both"/>
        <w:rPr>
          <w:rFonts w:hint="default" w:ascii="楷体_GB2312" w:hAnsi="宋体" w:eastAsia="楷体_GB2312" w:cs="仿宋"/>
          <w:bCs/>
          <w:kern w:val="2"/>
          <w:sz w:val="32"/>
          <w:szCs w:val="32"/>
        </w:rPr>
      </w:pPr>
      <w:r>
        <w:rPr>
          <w:rFonts w:hint="default" w:ascii="楷体_GB2312" w:hAnsi="宋体" w:eastAsia="楷体_GB2312" w:cs="楷体_GB2312"/>
          <w:bCs/>
          <w:kern w:val="2"/>
          <w:sz w:val="32"/>
          <w:szCs w:val="32"/>
          <w:lang w:val="en-US" w:eastAsia="zh-CN" w:bidi="ar"/>
        </w:rPr>
        <w:t>（二）东部区内接收“点对点”调运生猪的屠宰企业应当具备下列条件：</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1.在中国兽医网公布的生猪屠宰企业；</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default" w:ascii="仿宋" w:hAnsi="仿宋" w:eastAsia="仿宋" w:cs="仿宋"/>
          <w:kern w:val="2"/>
          <w:sz w:val="32"/>
          <w:szCs w:val="32"/>
        </w:rPr>
      </w:pPr>
      <w:r>
        <w:rPr>
          <w:rFonts w:hint="eastAsia" w:ascii="仿宋_GB2312" w:hAnsi="仿宋_GB2312" w:eastAsia="仿宋_GB2312" w:cs="仿宋_GB2312"/>
          <w:kern w:val="2"/>
          <w:sz w:val="32"/>
          <w:szCs w:val="32"/>
          <w:lang w:val="en-US" w:eastAsia="zh-CN" w:bidi="ar"/>
        </w:rPr>
        <w:t>2.取得有效期内《生猪定点屠宰许可证》。</w:t>
      </w:r>
    </w:p>
    <w:p>
      <w:pPr>
        <w:pStyle w:val="4"/>
        <w:keepNext w:val="0"/>
        <w:keepLines w:val="0"/>
        <w:widowControl w:val="0"/>
        <w:suppressLineNumbers w:val="0"/>
        <w:suppressAutoHyphens/>
        <w:adjustRightInd w:val="0"/>
        <w:snapToGrid w:val="0"/>
        <w:spacing w:before="0" w:beforeAutospacing="0" w:after="0" w:afterAutospacing="0" w:line="620" w:lineRule="exact"/>
        <w:ind w:left="0" w:right="0" w:firstLine="645"/>
        <w:jc w:val="both"/>
        <w:rPr>
          <w:rFonts w:hint="default" w:ascii="黑体" w:hAnsi="宋体" w:eastAsia="黑体" w:cs="仿宋"/>
          <w:bCs/>
          <w:kern w:val="2"/>
          <w:sz w:val="32"/>
          <w:szCs w:val="32"/>
        </w:rPr>
      </w:pPr>
      <w:r>
        <w:rPr>
          <w:rFonts w:hint="default" w:ascii="黑体" w:hAnsi="宋体" w:eastAsia="黑体" w:cs="黑体"/>
          <w:bCs/>
          <w:kern w:val="2"/>
          <w:sz w:val="32"/>
          <w:szCs w:val="32"/>
          <w:lang w:val="en-US" w:eastAsia="zh-CN" w:bidi="ar"/>
        </w:rPr>
        <w:t>三、调运方式</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一）东部区外符合条件的生猪养殖企业，应备齐本企业和东部区接收屠宰企业资质证明材料，填写《供东部区生猪养殖企业登记表》，经企业所在地县级动物卫生监督机构审核同意后，报输入地县级动物卫生监督机构登记。各省级动物卫生监督机构定期汇总相关登记信息，更新公布。东部区各省每月将辖区内登记的企业信息资料送联席会议办公室汇总。</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（二）已通过国家非洲猪瘟无疫小区评估的养殖企业，向东部区调入生猪时，无需填写《供东部区生猪养殖企业登记表》，随货附带农业农村部公布其为非洲猪瘟无疫小区的公告即可。</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（三）东部区外符合条件的生猪养殖企业，经登记后方可调入，如更换接收企业需重新登记。每次调运需填写《供东部区生猪调运审查表》经输出地县级动物卫生监督机构审核后，随货同行。</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（四）同一调出企业向同一接收企业再次“点对点”调运生猪无须再次登记。</w:t>
      </w:r>
    </w:p>
    <w:p>
      <w:pPr>
        <w:pStyle w:val="4"/>
        <w:keepNext w:val="0"/>
        <w:keepLines w:val="0"/>
        <w:widowControl w:val="0"/>
        <w:suppressLineNumbers w:val="0"/>
        <w:suppressAutoHyphens/>
        <w:adjustRightInd w:val="0"/>
        <w:snapToGrid w:val="0"/>
        <w:spacing w:before="0" w:beforeAutospacing="0" w:after="0" w:afterAutospacing="0" w:line="620" w:lineRule="exact"/>
        <w:ind w:left="0" w:right="0" w:firstLine="645"/>
        <w:jc w:val="both"/>
        <w:rPr>
          <w:rFonts w:hint="default" w:ascii="黑体" w:hAnsi="宋体" w:eastAsia="黑体" w:cs="仿宋"/>
          <w:bCs/>
          <w:kern w:val="2"/>
          <w:sz w:val="32"/>
          <w:szCs w:val="32"/>
        </w:rPr>
      </w:pPr>
      <w:r>
        <w:rPr>
          <w:rFonts w:hint="default" w:ascii="黑体" w:hAnsi="宋体" w:eastAsia="黑体" w:cs="黑体"/>
          <w:bCs/>
          <w:kern w:val="2"/>
          <w:sz w:val="32"/>
          <w:szCs w:val="32"/>
          <w:lang w:val="en-US" w:eastAsia="zh-CN" w:bidi="ar"/>
        </w:rPr>
        <w:t>四、供东部区生猪调运要求</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一）东部区不接收大区外非“点对点”调运管理的生猪（种猪、仔猪以及非洲猪瘟等重大动物疫病无疫区、无疫小区生猪除外），对违规进入的予以劝退，不听劝退的依法依规处置，并将调运主体列入黑名单管理。</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（二）向东部区调运生猪，需经由大区内指定通道签章后进入。</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（三）东部区各省根据需要实施抽检。</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default" w:ascii="Calibri" w:hAnsi="Calibri" w:eastAsia="仿宋" w:cs="仿宋"/>
          <w:kern w:val="2"/>
          <w:sz w:val="32"/>
          <w:szCs w:val="32"/>
        </w:rPr>
      </w:pPr>
      <w:r>
        <w:rPr>
          <w:rFonts w:hint="eastAsia" w:ascii="仿宋_GB2312" w:hAnsi="仿宋_GB2312" w:eastAsia="仿宋_GB2312" w:cs="仿宋_GB2312"/>
          <w:kern w:val="2"/>
          <w:sz w:val="32"/>
          <w:szCs w:val="32"/>
          <w:lang w:val="en-US" w:eastAsia="zh-CN" w:bidi="ar"/>
        </w:rPr>
        <w:t>（四）经陆路运输的不得途经疫情县区。</w:t>
      </w:r>
    </w:p>
    <w:p>
      <w:pPr>
        <w:pStyle w:val="4"/>
        <w:keepNext w:val="0"/>
        <w:keepLines w:val="0"/>
        <w:widowControl w:val="0"/>
        <w:suppressLineNumbers w:val="0"/>
        <w:suppressAutoHyphens/>
        <w:adjustRightInd w:val="0"/>
        <w:snapToGrid w:val="0"/>
        <w:spacing w:before="0" w:beforeAutospacing="0" w:after="0" w:afterAutospacing="0" w:line="620" w:lineRule="exact"/>
        <w:ind w:left="0" w:right="0" w:firstLine="645"/>
        <w:jc w:val="both"/>
        <w:rPr>
          <w:rFonts w:hint="default" w:ascii="黑体" w:hAnsi="宋体" w:eastAsia="黑体" w:cs="仿宋"/>
          <w:bCs/>
          <w:kern w:val="2"/>
          <w:sz w:val="32"/>
          <w:szCs w:val="32"/>
        </w:rPr>
      </w:pPr>
      <w:r>
        <w:rPr>
          <w:rFonts w:hint="default" w:ascii="黑体" w:hAnsi="宋体" w:eastAsia="黑体" w:cs="黑体"/>
          <w:bCs/>
          <w:kern w:val="2"/>
          <w:sz w:val="32"/>
          <w:szCs w:val="32"/>
          <w:lang w:val="en-US" w:eastAsia="zh-CN" w:bidi="ar"/>
        </w:rPr>
        <w:t>五、附则</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（一）畅通合格的种猪、仔猪（重量在30公斤及以下且用于育肥）、生猪产品跨大区调运。</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（二）各地动物卫生监督机构要严格按规程开展动物检疫工作，对符合条件、依法合规调运的生猪，不得拒绝出具跨省调运动物检疫合格证明。</w:t>
      </w:r>
    </w:p>
    <w:p>
      <w:pPr>
        <w:pStyle w:val="4"/>
        <w:keepNext w:val="0"/>
        <w:keepLines w:val="0"/>
        <w:widowControl w:val="0"/>
        <w:suppressLineNumbers w:val="0"/>
        <w:adjustRightInd w:val="0"/>
        <w:snapToGrid w:val="0"/>
        <w:spacing w:before="0" w:beforeAutospacing="0" w:after="0" w:afterAutospacing="0" w:line="620" w:lineRule="exact"/>
        <w:ind w:left="0" w:right="0"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（三）本细则可根据疫情防控和稳产保供情况适时调整。</w:t>
      </w:r>
    </w:p>
    <w:p>
      <w:pPr>
        <w:pStyle w:val="4"/>
        <w:keepNext w:val="0"/>
        <w:keepLines w:val="0"/>
        <w:widowControl w:val="0"/>
        <w:suppressLineNumbers w:val="0"/>
        <w:adjustRightInd w:val="0"/>
        <w:snapToGrid w:val="0"/>
        <w:spacing w:before="0" w:beforeAutospacing="0" w:after="0" w:afterAutospacing="0" w:line="560" w:lineRule="exact"/>
        <w:ind w:left="0" w:right="0" w:firstLine="0" w:firstLineChars="0"/>
        <w:jc w:val="left"/>
        <w:rPr>
          <w:rFonts w:hint="default" w:ascii="黑体" w:hAnsi="宋体" w:eastAsia="黑体" w:cs="方正黑体_GBK"/>
          <w:kern w:val="2"/>
          <w:sz w:val="32"/>
          <w:szCs w:val="32"/>
        </w:rPr>
      </w:pPr>
      <w:r>
        <w:rPr>
          <w:rFonts w:hint="eastAsia" w:ascii="仿宋_GB2312" w:hAnsi="仿宋_GB2312" w:eastAsia="仿宋_GB2312" w:cs="仿宋_GB2312"/>
          <w:kern w:val="2"/>
          <w:sz w:val="32"/>
          <w:szCs w:val="32"/>
          <w:lang w:val="en-US" w:eastAsia="zh-CN" w:bidi="ar"/>
        </w:rPr>
        <w:br w:type="page"/>
      </w:r>
      <w:r>
        <w:rPr>
          <w:rFonts w:hint="default" w:ascii="黑体" w:hAnsi="宋体" w:eastAsia="黑体" w:cs="黑体"/>
          <w:kern w:val="2"/>
          <w:sz w:val="32"/>
          <w:szCs w:val="32"/>
          <w:lang w:val="en-US" w:eastAsia="zh-CN" w:bidi="ar"/>
        </w:rPr>
        <w:t>表一</w:t>
      </w:r>
    </w:p>
    <w:p>
      <w:pPr>
        <w:pStyle w:val="4"/>
        <w:keepNext w:val="0"/>
        <w:keepLines w:val="0"/>
        <w:widowControl w:val="0"/>
        <w:suppressLineNumbers w:val="0"/>
        <w:spacing w:before="0" w:beforeAutospacing="0" w:after="0" w:afterAutospacing="0"/>
        <w:ind w:left="0" w:right="0"/>
        <w:jc w:val="center"/>
        <w:rPr>
          <w:rFonts w:hint="default" w:ascii="方正小标宋简体" w:hAnsi="方正黑体_GBK" w:eastAsia="方正小标宋简体" w:cs="方正黑体_GBK"/>
          <w:kern w:val="2"/>
          <w:sz w:val="44"/>
          <w:szCs w:val="44"/>
        </w:rPr>
      </w:pPr>
      <w:r>
        <w:rPr>
          <w:rFonts w:hint="default" w:ascii="方正小标宋简体" w:hAnsi="方正小标宋简体" w:eastAsia="方正小标宋简体" w:cs="方正小标宋简体"/>
          <w:kern w:val="2"/>
          <w:sz w:val="44"/>
          <w:szCs w:val="44"/>
          <w:lang w:val="en-US" w:eastAsia="zh-CN" w:bidi="ar"/>
        </w:rPr>
        <w:t>供东部区生猪养殖企业登记表</w:t>
      </w:r>
    </w:p>
    <w:p>
      <w:pPr>
        <w:pStyle w:val="4"/>
        <w:keepNext w:val="0"/>
        <w:keepLines w:val="0"/>
        <w:widowControl w:val="0"/>
        <w:suppressLineNumbers w:val="0"/>
        <w:spacing w:before="0" w:beforeAutospacing="0" w:after="0" w:afterAutospacing="0"/>
        <w:ind w:left="0" w:right="0" w:firstLine="960" w:firstLineChars="400"/>
        <w:jc w:val="both"/>
        <w:rPr>
          <w:rFonts w:hint="default" w:ascii="方正仿宋_GBK" w:hAnsi="方正仿宋_GBK" w:eastAsia="方正仿宋_GBK" w:cs="方正仿宋_GBK"/>
          <w:kern w:val="2"/>
          <w:sz w:val="24"/>
          <w:szCs w:val="24"/>
          <w:u w:val="single"/>
        </w:rPr>
      </w:pPr>
      <w:r>
        <w:rPr>
          <w:rFonts w:hint="default" w:ascii="方正仿宋_GBK" w:hAnsi="方正仿宋_GBK" w:eastAsia="方正仿宋_GBK" w:cs="方正仿宋_GBK"/>
          <w:kern w:val="2"/>
          <w:sz w:val="24"/>
          <w:szCs w:val="24"/>
          <w:lang w:val="en-US" w:eastAsia="zh-CN" w:bidi="ar"/>
        </w:rPr>
        <w:t>省（自治区、直辖市）      市（地区）       县（市、区）</w:t>
      </w:r>
    </w:p>
    <w:tbl>
      <w:tblPr>
        <w:tblStyle w:val="5"/>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764"/>
        <w:gridCol w:w="1964"/>
        <w:gridCol w:w="64"/>
        <w:gridCol w:w="96"/>
        <w:gridCol w:w="213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申报企业全称</w:t>
            </w:r>
          </w:p>
        </w:tc>
        <w:tc>
          <w:tcPr>
            <w:tcW w:w="15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p>
        </w:tc>
        <w:tc>
          <w:tcPr>
            <w:tcW w:w="1286"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法定代表人</w:t>
            </w:r>
          </w:p>
        </w:tc>
        <w:tc>
          <w:tcPr>
            <w:tcW w:w="119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企业地址</w:t>
            </w:r>
          </w:p>
        </w:tc>
        <w:tc>
          <w:tcPr>
            <w:tcW w:w="15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p>
        </w:tc>
        <w:tc>
          <w:tcPr>
            <w:tcW w:w="1286"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联系方式</w:t>
            </w:r>
          </w:p>
        </w:tc>
        <w:tc>
          <w:tcPr>
            <w:tcW w:w="119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8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动物防疫条件合格证号码</w:t>
            </w:r>
          </w:p>
        </w:tc>
        <w:tc>
          <w:tcPr>
            <w:tcW w:w="15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p>
        </w:tc>
        <w:tc>
          <w:tcPr>
            <w:tcW w:w="1286"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畜禽养殖代码</w:t>
            </w:r>
          </w:p>
        </w:tc>
        <w:tc>
          <w:tcPr>
            <w:tcW w:w="119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养殖规模</w:t>
            </w:r>
          </w:p>
        </w:tc>
        <w:tc>
          <w:tcPr>
            <w:tcW w:w="4016" w:type="pct"/>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上年出栏生猪</w:t>
            </w:r>
            <w:r>
              <w:rPr>
                <w:rFonts w:hint="eastAsia" w:ascii="宋体" w:hAnsi="宋体" w:eastAsia="宋体" w:cs="仿宋"/>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头；当前存栏基础母猪</w:t>
            </w:r>
            <w:r>
              <w:rPr>
                <w:rFonts w:hint="eastAsia" w:ascii="宋体" w:hAnsi="宋体" w:eastAsia="宋体" w:cs="仿宋"/>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41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过去三年内是否发生重大动物疫情</w:t>
            </w:r>
          </w:p>
        </w:tc>
        <w:tc>
          <w:tcPr>
            <w:tcW w:w="1192"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□是   □否</w:t>
            </w:r>
          </w:p>
        </w:tc>
        <w:tc>
          <w:tcPr>
            <w:tcW w:w="119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过去三年内是否出现强制免疫抗体水平低于国家规定标准情形</w:t>
            </w:r>
          </w:p>
        </w:tc>
        <w:tc>
          <w:tcPr>
            <w:tcW w:w="119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1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是否具备非洲猪瘟</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PCR检测条件</w:t>
            </w:r>
          </w:p>
        </w:tc>
        <w:tc>
          <w:tcPr>
            <w:tcW w:w="3587"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firstLine="720" w:firstLineChars="30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8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东部区接收</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企业全称</w:t>
            </w:r>
          </w:p>
        </w:tc>
        <w:tc>
          <w:tcPr>
            <w:tcW w:w="4016" w:type="pct"/>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b w:val="0"/>
                <w:bCs w:val="0"/>
                <w:kern w:val="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其他需要</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说明事项</w:t>
            </w:r>
          </w:p>
        </w:tc>
        <w:tc>
          <w:tcPr>
            <w:tcW w:w="4016" w:type="pct"/>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2" w:hRule="atLeast"/>
          <w:jc w:val="center"/>
        </w:trPr>
        <w:tc>
          <w:tcPr>
            <w:tcW w:w="2550" w:type="pct"/>
            <w:gridSpan w:val="4"/>
            <w:tcBorders>
              <w:top w:val="single" w:color="auto" w:sz="4" w:space="0"/>
              <w:left w:val="single" w:color="auto" w:sz="4" w:space="0"/>
              <w:bottom w:val="single" w:color="auto" w:sz="4" w:space="0"/>
              <w:right w:val="single" w:color="auto" w:sz="4" w:space="0"/>
            </w:tcBorders>
          </w:tcPr>
          <w:p/>
          <w:p>
            <w:r>
              <w:rPr>
                <w:rFonts w:hint="eastAsia" w:ascii="宋体" w:hAnsi="宋体" w:eastAsia="宋体" w:cs="宋体"/>
                <w:kern w:val="2"/>
                <w:sz w:val="24"/>
                <w:szCs w:val="24"/>
                <w:lang w:val="en-US" w:eastAsia="zh-CN" w:bidi="ar"/>
              </w:rPr>
              <w:t>法人（负责人）签字</w:t>
            </w:r>
          </w:p>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kern w:val="2"/>
                <w:sz w:val="24"/>
                <w:szCs w:val="24"/>
                <w:lang w:bidi="ar"/>
              </w:rPr>
            </w:pPr>
          </w:p>
          <w:p/>
          <w:p>
            <w:pPr>
              <w:keepNext w:val="0"/>
              <w:keepLines w:val="0"/>
              <w:widowControl w:val="0"/>
              <w:suppressLineNumbers w:val="0"/>
              <w:spacing w:before="0" w:beforeAutospacing="0" w:after="0" w:afterAutospacing="0" w:line="300" w:lineRule="exact"/>
              <w:ind w:left="0" w:right="0"/>
              <w:jc w:val="right"/>
              <w:rPr>
                <w:rFonts w:hint="eastAsia" w:ascii="宋体" w:hAnsi="宋体" w:eastAsia="宋体" w:cs="宋体"/>
                <w:kern w:val="2"/>
                <w:sz w:val="24"/>
                <w:szCs w:val="24"/>
                <w:lang w:bidi="ar"/>
              </w:rPr>
            </w:pP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kern w:val="2"/>
                <w:sz w:val="24"/>
                <w:szCs w:val="24"/>
                <w:lang w:bidi="ar"/>
              </w:rPr>
            </w:pPr>
          </w:p>
          <w:p>
            <w:pPr>
              <w:keepNext w:val="0"/>
              <w:keepLines w:val="0"/>
              <w:widowControl w:val="0"/>
              <w:suppressLineNumbers w:val="0"/>
              <w:spacing w:before="0" w:beforeAutospacing="0" w:after="0" w:afterAutospacing="0" w:line="300" w:lineRule="exact"/>
              <w:ind w:left="0" w:right="0"/>
              <w:jc w:val="right"/>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申报单位</w:t>
            </w:r>
          </w:p>
          <w:p>
            <w:pPr>
              <w:keepNext w:val="0"/>
              <w:keepLines w:val="0"/>
              <w:widowControl w:val="0"/>
              <w:suppressLineNumbers w:val="0"/>
              <w:spacing w:before="0" w:beforeAutospacing="0" w:after="0" w:afterAutospacing="0" w:line="300" w:lineRule="exact"/>
              <w:ind w:left="0" w:right="0"/>
              <w:jc w:val="right"/>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（盖章）</w:t>
            </w:r>
          </w:p>
          <w:p>
            <w:pPr>
              <w:keepNext w:val="0"/>
              <w:keepLines w:val="0"/>
              <w:widowControl w:val="0"/>
              <w:suppressLineNumbers w:val="0"/>
              <w:spacing w:before="0" w:beforeAutospacing="0" w:after="0" w:afterAutospacing="0" w:line="300" w:lineRule="exact"/>
              <w:ind w:left="0" w:right="0"/>
              <w:jc w:val="right"/>
              <w:rPr>
                <w:rFonts w:hint="eastAsia" w:ascii="宋体" w:hAnsi="宋体" w:eastAsia="宋体" w:cs="宋体"/>
                <w:kern w:val="2"/>
                <w:sz w:val="24"/>
                <w:szCs w:val="24"/>
                <w:lang w:bidi="ar"/>
              </w:rPr>
            </w:pPr>
            <w:bookmarkStart w:id="0" w:name="_GoBack"/>
            <w:bookmarkEnd w:id="0"/>
            <w:r>
              <w:rPr>
                <w:rFonts w:hint="eastAsia" w:ascii="宋体" w:hAnsi="宋体" w:eastAsia="宋体" w:cs="宋体"/>
                <w:kern w:val="2"/>
                <w:sz w:val="24"/>
                <w:szCs w:val="24"/>
                <w:lang w:val="en-US" w:eastAsia="zh-CN" w:bidi="ar"/>
              </w:rPr>
              <w:t>年  月   日</w:t>
            </w:r>
          </w:p>
        </w:tc>
        <w:tc>
          <w:tcPr>
            <w:tcW w:w="2449" w:type="pct"/>
            <w:gridSpan w:val="3"/>
            <w:tcBorders>
              <w:top w:val="single" w:color="auto" w:sz="4" w:space="0"/>
              <w:left w:val="single" w:color="auto" w:sz="4" w:space="0"/>
              <w:bottom w:val="single" w:color="auto" w:sz="4" w:space="0"/>
              <w:right w:val="single" w:color="auto" w:sz="4" w:space="0"/>
            </w:tcBorders>
          </w:tcP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所在地</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县级动物卫生监督机构</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审核意见</w:t>
            </w:r>
          </w:p>
          <w:p>
            <w:pPr>
              <w:keepNext w:val="0"/>
              <w:keepLines w:val="0"/>
              <w:widowControl w:val="0"/>
              <w:suppressLineNumbers w:val="0"/>
              <w:spacing w:before="0" w:beforeAutospacing="0" w:after="0" w:afterAutospacing="0" w:line="300" w:lineRule="exact"/>
              <w:ind w:left="0" w:right="0"/>
              <w:jc w:val="left"/>
              <w:rPr>
                <w:rFonts w:hint="eastAsia" w:ascii="宋体" w:hAnsi="宋体" w:eastAsia="宋体" w:cs="宋体"/>
                <w:kern w:val="2"/>
                <w:sz w:val="24"/>
                <w:szCs w:val="24"/>
                <w:lang w:bidi="ar"/>
              </w:rPr>
            </w:pP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bidi="ar"/>
              </w:rPr>
            </w:pP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4"/>
                <w:szCs w:val="24"/>
                <w:lang w:eastAsia="zh-CN" w:bidi="ar"/>
              </w:rPr>
              <w:t xml:space="preserve">                   </w:t>
            </w:r>
            <w:r>
              <w:rPr>
                <w:rFonts w:hint="eastAsia" w:ascii="宋体" w:hAnsi="宋体" w:eastAsia="宋体" w:cs="宋体"/>
                <w:kern w:val="2"/>
                <w:sz w:val="24"/>
                <w:szCs w:val="24"/>
                <w:lang w:val="en-US" w:eastAsia="zh-CN" w:bidi="ar"/>
              </w:rPr>
              <w:t>（盖章）</w:t>
            </w:r>
          </w:p>
          <w:p>
            <w:pPr>
              <w:keepNext w:val="0"/>
              <w:keepLines w:val="0"/>
              <w:widowControl w:val="0"/>
              <w:suppressLineNumbers w:val="0"/>
              <w:spacing w:before="0" w:beforeAutospacing="0" w:after="0" w:afterAutospacing="0" w:line="300" w:lineRule="exact"/>
              <w:ind w:left="0" w:right="0"/>
              <w:jc w:val="right"/>
              <w:rPr>
                <w:rFonts w:hint="eastAsia" w:ascii="宋体" w:hAnsi="宋体" w:eastAsia="宋体" w:cs="宋体"/>
                <w:kern w:val="2"/>
                <w:sz w:val="24"/>
                <w:szCs w:val="24"/>
                <w:lang w:bidi="ar"/>
              </w:rPr>
            </w:pPr>
            <w:r>
              <w:rPr>
                <w:rFonts w:hint="eastAsia" w:ascii="宋体" w:hAnsi="宋体" w:eastAsia="宋体" w:cs="宋体"/>
                <w:kern w:val="2"/>
                <w:sz w:val="24"/>
                <w:szCs w:val="24"/>
                <w:lang w:val="en-US" w:eastAsia="zh-CN" w:bidi="ar"/>
              </w:rPr>
              <w:t>年   月   日</w:t>
            </w:r>
          </w:p>
        </w:tc>
      </w:tr>
    </w:tbl>
    <w:p>
      <w:pPr>
        <w:pStyle w:val="4"/>
        <w:keepNext w:val="0"/>
        <w:keepLines w:val="0"/>
        <w:widowControl w:val="0"/>
        <w:suppressLineNumbers w:val="0"/>
        <w:spacing w:before="0" w:beforeAutospacing="0" w:after="0" w:afterAutospacing="0"/>
        <w:ind w:left="0" w:right="0"/>
        <w:jc w:val="both"/>
        <w:rPr>
          <w:rFonts w:hint="default" w:ascii="黑体" w:hAnsi="宋体" w:eastAsia="黑体" w:cs="黑体"/>
          <w:kern w:val="2"/>
          <w:sz w:val="32"/>
          <w:szCs w:val="32"/>
          <w:lang w:val="en-US" w:eastAsia="zh-CN" w:bidi="ar"/>
        </w:rPr>
      </w:pPr>
    </w:p>
    <w:p>
      <w:pPr>
        <w:pStyle w:val="4"/>
        <w:keepNext w:val="0"/>
        <w:keepLines w:val="0"/>
        <w:widowControl w:val="0"/>
        <w:suppressLineNumbers w:val="0"/>
        <w:spacing w:before="0" w:beforeAutospacing="0" w:after="0" w:afterAutospacing="0"/>
        <w:ind w:left="0" w:right="0"/>
        <w:jc w:val="both"/>
        <w:rPr>
          <w:rFonts w:hint="default" w:ascii="黑体" w:hAnsi="宋体" w:eastAsia="黑体" w:cs="黑体"/>
          <w:kern w:val="2"/>
          <w:sz w:val="32"/>
          <w:szCs w:val="32"/>
        </w:rPr>
      </w:pPr>
      <w:r>
        <w:rPr>
          <w:rFonts w:hint="default" w:ascii="黑体" w:hAnsi="宋体" w:eastAsia="黑体" w:cs="黑体"/>
          <w:kern w:val="2"/>
          <w:sz w:val="32"/>
          <w:szCs w:val="32"/>
          <w:lang w:val="en-US" w:eastAsia="zh-CN" w:bidi="ar"/>
        </w:rPr>
        <w:t>表二</w:t>
      </w:r>
    </w:p>
    <w:p>
      <w:pPr>
        <w:pStyle w:val="4"/>
        <w:keepNext w:val="0"/>
        <w:keepLines w:val="0"/>
        <w:widowControl w:val="0"/>
        <w:suppressLineNumbers w:val="0"/>
        <w:spacing w:before="0" w:beforeAutospacing="0" w:after="0" w:afterAutospacing="0" w:line="620" w:lineRule="exact"/>
        <w:ind w:left="0" w:right="0"/>
        <w:jc w:val="center"/>
        <w:rPr>
          <w:rFonts w:hint="default" w:ascii="方正小标宋简体" w:hAnsi="宋体" w:eastAsia="方正小标宋简体" w:cs="黑体"/>
          <w:kern w:val="2"/>
          <w:sz w:val="44"/>
          <w:szCs w:val="44"/>
        </w:rPr>
      </w:pPr>
      <w:r>
        <w:rPr>
          <w:rFonts w:hint="default" w:ascii="方正小标宋简体" w:hAnsi="方正小标宋简体" w:eastAsia="方正小标宋简体" w:cs="方正小标宋简体"/>
          <w:kern w:val="2"/>
          <w:sz w:val="44"/>
          <w:szCs w:val="44"/>
          <w:lang w:val="en-US" w:eastAsia="zh-CN" w:bidi="ar"/>
        </w:rPr>
        <w:t>供东部区生猪调运审查表</w:t>
      </w:r>
    </w:p>
    <w:p>
      <w:pPr>
        <w:pStyle w:val="6"/>
        <w:keepNext w:val="0"/>
        <w:keepLines w:val="0"/>
        <w:widowControl w:val="0"/>
        <w:suppressLineNumbers w:val="0"/>
        <w:spacing w:before="0" w:beforeAutospacing="0" w:after="0" w:afterAutospacing="0" w:line="620" w:lineRule="exact"/>
        <w:ind w:left="0" w:leftChars="0" w:right="0" w:firstLine="6120" w:firstLineChars="2550"/>
        <w:jc w:val="both"/>
        <w:rPr>
          <w:rFonts w:hint="default" w:ascii="楷体_GB2312" w:eastAsia="楷体_GB2312" w:cs="楷体_GB2312"/>
          <w:kern w:val="2"/>
          <w:sz w:val="24"/>
          <w:szCs w:val="24"/>
        </w:rPr>
      </w:pPr>
      <w:r>
        <w:rPr>
          <w:rFonts w:hint="default" w:ascii="楷体_GB2312" w:hAnsi="宋体" w:eastAsia="楷体_GB2312" w:cs="楷体_GB2312"/>
          <w:kern w:val="2"/>
          <w:sz w:val="24"/>
          <w:szCs w:val="24"/>
          <w:lang w:val="en-US" w:eastAsia="zh-CN" w:bidi="ar"/>
        </w:rPr>
        <w:t>编号：</w:t>
      </w:r>
    </w:p>
    <w:tbl>
      <w:tblPr>
        <w:tblStyle w:val="5"/>
        <w:tblW w:w="51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2325"/>
        <w:gridCol w:w="2173"/>
        <w:gridCol w:w="620"/>
        <w:gridCol w:w="1434"/>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7" w:hRule="exact"/>
          <w:jc w:val="center"/>
        </w:trPr>
        <w:tc>
          <w:tcPr>
            <w:tcW w:w="1351"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申请企业全称</w:t>
            </w:r>
          </w:p>
        </w:tc>
        <w:tc>
          <w:tcPr>
            <w:tcW w:w="1622" w:type="pct"/>
            <w:gridSpan w:val="2"/>
            <w:tcBorders>
              <w:top w:val="single" w:color="auto" w:sz="4" w:space="0"/>
              <w:left w:val="single" w:color="auto" w:sz="4" w:space="0"/>
              <w:bottom w:val="nil"/>
              <w:right w:val="nil"/>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c>
          <w:tcPr>
            <w:tcW w:w="833"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w:t>
            </w:r>
          </w:p>
        </w:tc>
        <w:tc>
          <w:tcPr>
            <w:tcW w:w="1192" w:type="pct"/>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7" w:hRule="exact"/>
          <w:jc w:val="center"/>
        </w:trPr>
        <w:tc>
          <w:tcPr>
            <w:tcW w:w="1351"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申请企业地址</w:t>
            </w:r>
          </w:p>
        </w:tc>
        <w:tc>
          <w:tcPr>
            <w:tcW w:w="1622" w:type="pct"/>
            <w:gridSpan w:val="2"/>
            <w:tcBorders>
              <w:top w:val="single" w:color="auto" w:sz="4" w:space="0"/>
              <w:left w:val="single" w:color="auto" w:sz="4" w:space="0"/>
              <w:bottom w:val="nil"/>
              <w:right w:val="nil"/>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c>
          <w:tcPr>
            <w:tcW w:w="833"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联系电话</w:t>
            </w:r>
          </w:p>
        </w:tc>
        <w:tc>
          <w:tcPr>
            <w:tcW w:w="1192" w:type="pct"/>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7" w:hRule="exact"/>
          <w:jc w:val="center"/>
        </w:trPr>
        <w:tc>
          <w:tcPr>
            <w:tcW w:w="1351"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计划调运时间</w:t>
            </w:r>
          </w:p>
        </w:tc>
        <w:tc>
          <w:tcPr>
            <w:tcW w:w="1622" w:type="pct"/>
            <w:gridSpan w:val="2"/>
            <w:tcBorders>
              <w:top w:val="single" w:color="auto" w:sz="4" w:space="0"/>
              <w:left w:val="single" w:color="auto" w:sz="4" w:space="0"/>
              <w:bottom w:val="nil"/>
              <w:right w:val="nil"/>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c>
          <w:tcPr>
            <w:tcW w:w="833" w:type="pct"/>
            <w:tcBorders>
              <w:top w:val="single" w:color="auto" w:sz="4" w:space="0"/>
              <w:left w:val="single" w:color="auto" w:sz="4" w:space="0"/>
              <w:bottom w:val="single" w:color="auto" w:sz="4" w:space="0"/>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数量（头）</w:t>
            </w:r>
          </w:p>
        </w:tc>
        <w:tc>
          <w:tcPr>
            <w:tcW w:w="119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7" w:hRule="exact"/>
          <w:jc w:val="center"/>
        </w:trPr>
        <w:tc>
          <w:tcPr>
            <w:tcW w:w="1351"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生猪运输车辆</w:t>
            </w:r>
          </w:p>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车牌号</w:t>
            </w:r>
          </w:p>
        </w:tc>
        <w:tc>
          <w:tcPr>
            <w:tcW w:w="3648" w:type="pct"/>
            <w:gridSpan w:val="4"/>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7" w:hRule="exact"/>
          <w:jc w:val="center"/>
        </w:trPr>
        <w:tc>
          <w:tcPr>
            <w:tcW w:w="1351"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接收屠宰企业名称</w:t>
            </w:r>
          </w:p>
        </w:tc>
        <w:tc>
          <w:tcPr>
            <w:tcW w:w="1622" w:type="pct"/>
            <w:gridSpan w:val="2"/>
            <w:tcBorders>
              <w:top w:val="single" w:color="auto" w:sz="4" w:space="0"/>
              <w:left w:val="single" w:color="auto" w:sz="4" w:space="0"/>
              <w:bottom w:val="nil"/>
              <w:right w:val="nil"/>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c>
          <w:tcPr>
            <w:tcW w:w="833"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联系人</w:t>
            </w:r>
          </w:p>
        </w:tc>
        <w:tc>
          <w:tcPr>
            <w:tcW w:w="1192" w:type="pct"/>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7" w:hRule="exact"/>
          <w:jc w:val="center"/>
        </w:trPr>
        <w:tc>
          <w:tcPr>
            <w:tcW w:w="1351"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接收屠宰企业地址</w:t>
            </w:r>
          </w:p>
        </w:tc>
        <w:tc>
          <w:tcPr>
            <w:tcW w:w="1622" w:type="pct"/>
            <w:gridSpan w:val="2"/>
            <w:tcBorders>
              <w:top w:val="single" w:color="auto" w:sz="4" w:space="0"/>
              <w:left w:val="single" w:color="auto" w:sz="4" w:space="0"/>
              <w:bottom w:val="nil"/>
              <w:right w:val="nil"/>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c>
          <w:tcPr>
            <w:tcW w:w="833" w:type="pct"/>
            <w:tcBorders>
              <w:top w:val="single" w:color="auto" w:sz="4" w:space="0"/>
              <w:left w:val="single" w:color="auto" w:sz="4" w:space="0"/>
              <w:bottom w:val="single" w:color="auto" w:sz="4" w:space="0"/>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联系电话</w:t>
            </w:r>
          </w:p>
        </w:tc>
        <w:tc>
          <w:tcPr>
            <w:tcW w:w="119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7" w:hRule="exact"/>
          <w:jc w:val="center"/>
        </w:trPr>
        <w:tc>
          <w:tcPr>
            <w:tcW w:w="1351" w:type="pct"/>
            <w:tcBorders>
              <w:top w:val="single" w:color="auto" w:sz="4" w:space="0"/>
              <w:left w:val="single" w:color="auto" w:sz="4" w:space="0"/>
              <w:bottom w:val="nil"/>
              <w:right w:val="nil"/>
            </w:tcBorders>
            <w:vAlign w:val="center"/>
          </w:tcPr>
          <w:p>
            <w:pPr>
              <w:pStyle w:val="6"/>
              <w:keepNext w:val="0"/>
              <w:keepLines w:val="0"/>
              <w:widowControl w:val="0"/>
              <w:suppressLineNumbers w:val="0"/>
              <w:spacing w:before="0" w:beforeAutospacing="0" w:after="0" w:afterAutospacing="0" w:line="300" w:lineRule="exact"/>
              <w:ind w:left="0" w:right="0" w:firstLine="0"/>
              <w:jc w:val="center"/>
              <w:rPr>
                <w:rFonts w:hint="eastAsia" w:ascii="宋体" w:hAnsi="宋体" w:eastAsia="宋体" w:cs="楷体_GB2312"/>
                <w:kern w:val="2"/>
                <w:sz w:val="24"/>
                <w:szCs w:val="24"/>
              </w:rPr>
            </w:pPr>
            <w:r>
              <w:rPr>
                <w:rFonts w:hint="eastAsia" w:ascii="宋体" w:hAnsi="宋体" w:eastAsia="宋体" w:cs="宋体"/>
                <w:kern w:val="2"/>
                <w:sz w:val="24"/>
                <w:szCs w:val="24"/>
                <w:lang w:val="en-US" w:eastAsia="zh-CN" w:bidi="ar"/>
              </w:rPr>
              <w:t>其他需要说明的情况</w:t>
            </w:r>
          </w:p>
        </w:tc>
        <w:tc>
          <w:tcPr>
            <w:tcW w:w="3648" w:type="pct"/>
            <w:gridSpan w:val="4"/>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楷体_GB2312"/>
                <w:kern w:val="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17" w:hRule="atLeast"/>
          <w:jc w:val="center"/>
        </w:trPr>
        <w:tc>
          <w:tcPr>
            <w:tcW w:w="2613" w:type="pct"/>
            <w:gridSpan w:val="2"/>
            <w:tcBorders>
              <w:top w:val="single" w:color="auto" w:sz="4" w:space="0"/>
              <w:left w:val="single" w:color="auto" w:sz="4" w:space="0"/>
              <w:bottom w:val="single" w:color="auto" w:sz="4" w:space="0"/>
              <w:right w:val="nil"/>
            </w:tcBorders>
          </w:tcPr>
          <w:p>
            <w:pPr>
              <w:pStyle w:val="6"/>
              <w:keepNext w:val="0"/>
              <w:keepLines w:val="0"/>
              <w:widowControl w:val="0"/>
              <w:suppressLineNumbers w:val="0"/>
              <w:spacing w:before="0" w:beforeAutospacing="0" w:after="0" w:afterAutospacing="0" w:line="300" w:lineRule="exact"/>
              <w:ind w:left="0" w:right="0" w:firstLine="4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申请人承诺:</w:t>
            </w:r>
            <w:r>
              <w:rPr>
                <w:rFonts w:hint="eastAsia" w:ascii="宋体" w:hAnsi="宋体" w:eastAsia="宋体" w:cs="宋体"/>
                <w:kern w:val="2"/>
                <w:sz w:val="24"/>
                <w:szCs w:val="24"/>
                <w:lang w:val="en-US" w:eastAsia="zh-CN" w:bidi="ar"/>
              </w:rPr>
              <w:t>调出生猪已按要求登记，使用的生猪运输车辆已备案并符合运输要求，所提交的材料真实有效。</w:t>
            </w:r>
          </w:p>
          <w:p>
            <w:pPr>
              <w:pStyle w:val="6"/>
              <w:keepNext w:val="0"/>
              <w:keepLines w:val="0"/>
              <w:widowControl w:val="0"/>
              <w:suppressLineNumbers w:val="0"/>
              <w:spacing w:before="0" w:beforeAutospacing="0" w:after="0" w:afterAutospacing="0" w:line="300" w:lineRule="exact"/>
              <w:ind w:left="0" w:right="0" w:firstLine="0"/>
              <w:jc w:val="both"/>
              <w:rPr>
                <w:rFonts w:hint="eastAsia" w:ascii="宋体" w:hAnsi="宋体" w:eastAsia="宋体" w:cs="宋体"/>
                <w:kern w:val="2"/>
                <w:sz w:val="24"/>
                <w:szCs w:val="24"/>
              </w:rPr>
            </w:pPr>
          </w:p>
          <w:p>
            <w:pPr>
              <w:pStyle w:val="6"/>
              <w:keepNext w:val="0"/>
              <w:keepLines w:val="0"/>
              <w:widowControl w:val="0"/>
              <w:suppressLineNumbers w:val="0"/>
              <w:spacing w:before="0" w:beforeAutospacing="0" w:after="0" w:afterAutospacing="0" w:line="300" w:lineRule="exact"/>
              <w:ind w:left="0" w:right="0" w:firstLine="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申请调运单位法人（负责人）签字：</w:t>
            </w:r>
          </w:p>
          <w:p>
            <w:pPr>
              <w:pStyle w:val="6"/>
              <w:keepNext w:val="0"/>
              <w:keepLines w:val="0"/>
              <w:widowControl w:val="0"/>
              <w:suppressLineNumbers w:val="0"/>
              <w:spacing w:before="0" w:beforeAutospacing="0" w:after="0" w:afterAutospacing="0" w:line="300" w:lineRule="exact"/>
              <w:ind w:left="0" w:right="0" w:firstLine="0"/>
              <w:jc w:val="both"/>
              <w:rPr>
                <w:rFonts w:hint="eastAsia" w:ascii="宋体" w:hAnsi="宋体" w:eastAsia="宋体" w:cs="宋体"/>
                <w:kern w:val="2"/>
                <w:sz w:val="24"/>
                <w:szCs w:val="24"/>
                <w:lang w:val="en-US" w:eastAsia="zh-CN" w:bidi="ar"/>
              </w:rPr>
            </w:pPr>
          </w:p>
          <w:p>
            <w:pPr>
              <w:pStyle w:val="6"/>
              <w:keepNext w:val="0"/>
              <w:keepLines w:val="0"/>
              <w:widowControl w:val="0"/>
              <w:suppressLineNumbers w:val="0"/>
              <w:spacing w:before="0" w:beforeAutospacing="0" w:after="0" w:afterAutospacing="0" w:line="300" w:lineRule="exact"/>
              <w:ind w:left="0" w:right="0" w:firstLine="0"/>
              <w:jc w:val="both"/>
              <w:rPr>
                <w:rFonts w:hint="eastAsia" w:ascii="宋体" w:hAnsi="宋体" w:eastAsia="宋体" w:cs="宋体"/>
                <w:kern w:val="2"/>
                <w:sz w:val="24"/>
                <w:szCs w:val="24"/>
                <w:lang w:val="en-US" w:eastAsia="zh-CN" w:bidi="ar"/>
              </w:rPr>
            </w:pPr>
          </w:p>
          <w:p>
            <w:pPr>
              <w:pStyle w:val="6"/>
              <w:keepNext w:val="0"/>
              <w:keepLines w:val="0"/>
              <w:widowControl w:val="0"/>
              <w:suppressLineNumbers w:val="0"/>
              <w:spacing w:before="0" w:beforeAutospacing="0" w:after="0" w:afterAutospacing="0" w:line="300" w:lineRule="exact"/>
              <w:ind w:left="0" w:right="0" w:firstLine="696" w:firstLineChars="290"/>
              <w:jc w:val="both"/>
              <w:rPr>
                <w:rFonts w:hint="eastAsia" w:ascii="宋体" w:hAnsi="宋体" w:eastAsia="宋体" w:cs="宋体"/>
                <w:kern w:val="2"/>
                <w:sz w:val="24"/>
                <w:szCs w:val="24"/>
                <w:lang w:val="en-US" w:eastAsia="zh-CN" w:bidi="ar"/>
              </w:rPr>
            </w:pPr>
          </w:p>
          <w:p>
            <w:pPr>
              <w:pStyle w:val="6"/>
              <w:keepNext w:val="0"/>
              <w:keepLines w:val="0"/>
              <w:widowControl w:val="0"/>
              <w:suppressLineNumbers w:val="0"/>
              <w:spacing w:before="0" w:beforeAutospacing="0" w:after="0" w:afterAutospacing="0" w:line="300" w:lineRule="exact"/>
              <w:ind w:left="0" w:right="0" w:firstLine="696" w:firstLineChars="290"/>
              <w:jc w:val="both"/>
              <w:rPr>
                <w:rFonts w:hint="eastAsia" w:ascii="宋体" w:hAnsi="宋体" w:eastAsia="宋体" w:cs="宋体"/>
                <w:kern w:val="2"/>
                <w:sz w:val="24"/>
                <w:szCs w:val="24"/>
                <w:lang w:val="en-US" w:eastAsia="zh-CN" w:bidi="ar"/>
              </w:rPr>
            </w:pPr>
          </w:p>
          <w:p>
            <w:pPr>
              <w:pStyle w:val="6"/>
              <w:keepNext w:val="0"/>
              <w:keepLines w:val="0"/>
              <w:widowControl w:val="0"/>
              <w:suppressLineNumbers w:val="0"/>
              <w:spacing w:before="0" w:beforeAutospacing="0" w:after="0" w:afterAutospacing="0" w:line="300" w:lineRule="exact"/>
              <w:ind w:left="0" w:right="0" w:firstLine="696" w:firstLineChars="290"/>
              <w:jc w:val="both"/>
              <w:rPr>
                <w:rFonts w:hint="eastAsia" w:ascii="宋体" w:hAnsi="宋体" w:eastAsia="宋体" w:cs="宋体"/>
                <w:kern w:val="2"/>
                <w:sz w:val="24"/>
                <w:szCs w:val="24"/>
                <w:lang w:val="en-US" w:eastAsia="zh-CN" w:bidi="ar"/>
              </w:rPr>
            </w:pPr>
          </w:p>
          <w:p>
            <w:pPr>
              <w:pStyle w:val="6"/>
              <w:keepNext w:val="0"/>
              <w:keepLines w:val="0"/>
              <w:widowControl w:val="0"/>
              <w:suppressLineNumbers w:val="0"/>
              <w:spacing w:before="0" w:beforeAutospacing="0" w:after="0" w:afterAutospacing="0" w:line="300" w:lineRule="exact"/>
              <w:ind w:left="0" w:right="0" w:firstLine="696" w:firstLineChars="290"/>
              <w:jc w:val="both"/>
              <w:rPr>
                <w:rFonts w:hint="eastAsia" w:ascii="宋体" w:hAnsi="宋体" w:eastAsia="宋体" w:cs="宋体"/>
                <w:kern w:val="2"/>
                <w:sz w:val="24"/>
                <w:szCs w:val="24"/>
                <w:lang w:val="en-US" w:eastAsia="zh-CN" w:bidi="ar"/>
              </w:rPr>
            </w:pPr>
          </w:p>
          <w:p>
            <w:pPr>
              <w:pStyle w:val="6"/>
              <w:keepNext w:val="0"/>
              <w:keepLines w:val="0"/>
              <w:widowControl w:val="0"/>
              <w:suppressLineNumbers w:val="0"/>
              <w:spacing w:before="0" w:beforeAutospacing="0" w:after="0" w:afterAutospacing="0" w:line="300" w:lineRule="exact"/>
              <w:ind w:left="0" w:right="0" w:firstLine="696" w:firstLineChars="290"/>
              <w:jc w:val="righ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单位（公章）</w:t>
            </w:r>
          </w:p>
          <w:p>
            <w:pPr>
              <w:pStyle w:val="6"/>
              <w:keepNext w:val="0"/>
              <w:keepLines w:val="0"/>
              <w:widowControl w:val="0"/>
              <w:suppressLineNumbers w:val="0"/>
              <w:spacing w:before="0" w:beforeAutospacing="0" w:after="0" w:afterAutospacing="0" w:line="300" w:lineRule="exact"/>
              <w:ind w:left="0" w:right="0" w:firstLine="696" w:firstLineChars="290"/>
              <w:jc w:val="both"/>
              <w:rPr>
                <w:rFonts w:hint="eastAsia" w:ascii="宋体" w:hAnsi="宋体" w:eastAsia="宋体" w:cs="宋体"/>
                <w:kern w:val="2"/>
                <w:sz w:val="24"/>
                <w:szCs w:val="24"/>
                <w:lang w:val="en-US" w:eastAsia="zh-CN" w:bidi="ar"/>
              </w:rPr>
            </w:pPr>
          </w:p>
          <w:p>
            <w:pPr>
              <w:pStyle w:val="6"/>
              <w:keepNext w:val="0"/>
              <w:keepLines w:val="0"/>
              <w:widowControl w:val="0"/>
              <w:suppressLineNumbers w:val="0"/>
              <w:spacing w:before="0" w:beforeAutospacing="0" w:after="0" w:afterAutospacing="0" w:line="300" w:lineRule="exact"/>
              <w:ind w:left="0" w:right="0" w:firstLine="400"/>
              <w:jc w:val="both"/>
              <w:rPr>
                <w:rFonts w:hint="default" w:ascii="楷体_GB2312" w:eastAsia="楷体_GB2312" w:cs="楷体_GB2312"/>
                <w:kern w:val="2"/>
                <w:sz w:val="24"/>
                <w:szCs w:val="24"/>
              </w:rPr>
            </w:pPr>
            <w:r>
              <w:rPr>
                <w:rFonts w:hint="eastAsia" w:ascii="宋体" w:hAnsi="宋体" w:eastAsia="宋体" w:cs="宋体"/>
                <w:kern w:val="2"/>
                <w:sz w:val="24"/>
                <w:szCs w:val="24"/>
                <w:lang w:val="en-US" w:eastAsia="zh-CN" w:bidi="ar"/>
              </w:rPr>
              <w:t xml:space="preserve">                  年   月   日</w:t>
            </w:r>
          </w:p>
        </w:tc>
        <w:tc>
          <w:tcPr>
            <w:tcW w:w="2386" w:type="pct"/>
            <w:gridSpan w:val="3"/>
            <w:tcBorders>
              <w:top w:val="single" w:color="auto" w:sz="4" w:space="0"/>
              <w:left w:val="single" w:color="auto" w:sz="4" w:space="0"/>
              <w:bottom w:val="single" w:color="auto" w:sz="4" w:space="0"/>
              <w:right w:val="single" w:color="auto" w:sz="4" w:space="0"/>
            </w:tcBorders>
          </w:tcPr>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县级动物卫生监督机构审查意见：</w:t>
            </w: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default" w:ascii="楷体_GB2312" w:eastAsia="楷体_GB2312" w:cs="楷体_GB2312"/>
                <w:kern w:val="2"/>
                <w:sz w:val="24"/>
                <w:szCs w:val="24"/>
              </w:rPr>
            </w:pP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（公章） </w:t>
            </w:r>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eastAsia" w:ascii="宋体" w:hAnsi="宋体" w:eastAsia="宋体" w:cs="宋体"/>
                <w:kern w:val="2"/>
                <w:sz w:val="24"/>
                <w:szCs w:val="24"/>
                <w:lang w:val="en-US" w:eastAsia="zh-CN" w:bidi="ar"/>
              </w:rPr>
            </w:pPr>
          </w:p>
          <w:p/>
          <w:p>
            <w:pPr>
              <w:pStyle w:val="6"/>
              <w:keepNext w:val="0"/>
              <w:keepLines w:val="0"/>
              <w:widowControl w:val="0"/>
              <w:suppressLineNumbers w:val="0"/>
              <w:wordWrap w:val="0"/>
              <w:spacing w:before="0" w:beforeAutospacing="0" w:after="0" w:afterAutospacing="0" w:line="300" w:lineRule="exact"/>
              <w:ind w:left="0" w:right="0" w:firstLine="0" w:firstLineChars="0"/>
              <w:jc w:val="right"/>
              <w:rPr>
                <w:rFonts w:hint="default" w:ascii="楷体_GB2312" w:eastAsia="楷体_GB2312" w:cs="楷体_GB2312"/>
                <w:kern w:val="2"/>
                <w:sz w:val="24"/>
                <w:szCs w:val="24"/>
              </w:rPr>
            </w:pPr>
            <w:r>
              <w:rPr>
                <w:rFonts w:hint="eastAsia" w:ascii="宋体" w:hAnsi="宋体" w:eastAsia="宋体" w:cs="宋体"/>
                <w:kern w:val="2"/>
                <w:sz w:val="24"/>
                <w:szCs w:val="24"/>
                <w:lang w:val="en-US" w:eastAsia="zh-CN" w:bidi="ar"/>
              </w:rPr>
              <w:t>年   月</w:t>
            </w:r>
            <w:r>
              <w:rPr>
                <w:rFonts w:hint="eastAsia" w:ascii="宋体" w:hAnsi="宋体" w:eastAsia="宋体" w:cs="楷体_GB2312"/>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日</w:t>
            </w:r>
          </w:p>
        </w:tc>
      </w:tr>
    </w:tbl>
    <w:p>
      <w:pPr>
        <w:pStyle w:val="6"/>
        <w:keepNext w:val="0"/>
        <w:keepLines w:val="0"/>
        <w:widowControl w:val="0"/>
        <w:suppressLineNumbers w:val="0"/>
        <w:spacing w:before="0" w:beforeAutospacing="0" w:after="0" w:afterAutospacing="0" w:line="400" w:lineRule="exact"/>
        <w:ind w:left="0" w:right="0" w:firstLine="0"/>
        <w:jc w:val="both"/>
        <w:rPr>
          <w:rFonts w:hint="default" w:ascii="仿宋_GB2312" w:eastAsia="仿宋_GB2312" w:cs="仿宋_GB2312"/>
          <w:kern w:val="2"/>
          <w:sz w:val="24"/>
          <w:szCs w:val="24"/>
        </w:rPr>
      </w:pPr>
      <w:r>
        <w:rPr>
          <w:rFonts w:hint="default" w:ascii="仿宋_GB2312" w:hAnsi="宋体" w:eastAsia="仿宋_GB2312" w:cs="仿宋_GB2312"/>
          <w:kern w:val="2"/>
          <w:sz w:val="24"/>
          <w:szCs w:val="24"/>
          <w:lang w:val="en-US" w:eastAsia="zh-CN" w:bidi="ar"/>
        </w:rPr>
        <w:t>备注：1.申请企业为输出地拟调出生猪的养殖企业。</w:t>
      </w:r>
    </w:p>
    <w:p>
      <w:pPr>
        <w:pStyle w:val="6"/>
        <w:keepNext w:val="0"/>
        <w:keepLines w:val="0"/>
        <w:widowControl w:val="0"/>
        <w:suppressLineNumbers w:val="0"/>
        <w:spacing w:before="0" w:beforeAutospacing="0" w:after="0" w:afterAutospacing="0" w:line="400" w:lineRule="exact"/>
        <w:ind w:left="0" w:right="0" w:firstLine="0"/>
        <w:jc w:val="both"/>
        <w:rPr>
          <w:rFonts w:hint="default" w:ascii="仿宋_GB2312" w:eastAsia="仿宋_GB2312" w:cs="仿宋_GB2312"/>
          <w:kern w:val="2"/>
          <w:sz w:val="24"/>
          <w:szCs w:val="24"/>
        </w:rPr>
      </w:pPr>
      <w:r>
        <w:rPr>
          <w:rFonts w:hint="default" w:ascii="仿宋_GB2312" w:hAnsi="宋体" w:eastAsia="仿宋_GB2312" w:cs="仿宋_GB2312"/>
          <w:kern w:val="2"/>
          <w:sz w:val="24"/>
          <w:szCs w:val="24"/>
          <w:lang w:val="en-US" w:eastAsia="zh-CN" w:bidi="ar"/>
        </w:rPr>
        <w:t xml:space="preserve">      2.编号共11位数字，由“8位数当天年月日”+“3位数字顺序号”组成；</w:t>
      </w:r>
    </w:p>
    <w:p>
      <w:pPr>
        <w:pStyle w:val="6"/>
        <w:keepNext w:val="0"/>
        <w:keepLines w:val="0"/>
        <w:widowControl w:val="0"/>
        <w:suppressLineNumbers w:val="0"/>
        <w:spacing w:before="0" w:beforeAutospacing="0" w:after="0" w:afterAutospacing="0" w:line="400" w:lineRule="exact"/>
        <w:ind w:left="0" w:right="0" w:firstLine="0"/>
        <w:jc w:val="both"/>
      </w:pPr>
      <w:r>
        <w:rPr>
          <w:rFonts w:hint="default" w:ascii="仿宋_GB2312" w:hAnsi="宋体" w:eastAsia="仿宋_GB2312" w:cs="仿宋_GB2312"/>
          <w:kern w:val="2"/>
          <w:sz w:val="24"/>
          <w:szCs w:val="24"/>
          <w:lang w:val="en-US" w:eastAsia="zh-CN" w:bidi="ar"/>
        </w:rPr>
        <w:t xml:space="preserve">      3.本表一式三份，一份由输出地县级动物卫生监督机构留存，一份由申请企业留存，一份随货同行备查，最后交输入地屠宰企业留存。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2M5YjkzZjM1OWY2NWVhYjFiYTAzODVkMGZlNTcifQ=="/>
  </w:docVars>
  <w:rsids>
    <w:rsidRoot w:val="36F54D6F"/>
    <w:rsid w:val="36F54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Normal"/>
    <w:qFormat/>
    <w:uiPriority w:val="0"/>
    <w:pPr>
      <w:widowControl w:val="0"/>
      <w:jc w:val="both"/>
    </w:pPr>
    <w:rPr>
      <w:rFonts w:ascii="Calibri" w:hAnsi="Calibri" w:eastAsia="宋体" w:cs="Times New Roman"/>
      <w:kern w:val="2"/>
      <w:sz w:val="21"/>
      <w:szCs w:val="24"/>
      <w:lang w:val="en-US" w:eastAsia="zh-CN" w:bidi="ar-SA"/>
    </w:rPr>
  </w:style>
  <w:style w:type="table" w:customStyle="1" w:styleId="5">
    <w:name w:val="Normal TableTableNormal"/>
    <w:semiHidden/>
    <w:qFormat/>
    <w:uiPriority w:val="0"/>
    <w:tblPr>
      <w:tblCellMar>
        <w:top w:w="0" w:type="dxa"/>
        <w:left w:w="108" w:type="dxa"/>
        <w:bottom w:w="0" w:type="dxa"/>
        <w:right w:w="108" w:type="dxa"/>
      </w:tblCellMar>
    </w:tblPr>
  </w:style>
  <w:style w:type="paragraph" w:customStyle="1" w:styleId="6">
    <w:name w:val="Normal (Web)NormalWeb"/>
    <w:basedOn w:val="4"/>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2023-11-28T09:21:00Z</dcterms:created>
  <dc:creator>Administrator</dc:creator>
  <cp:lastModifiedBy>Administrator</cp:lastModifiedBy>
  <dcterms:modified xsi:type="dcterms:W3CDTF">2023-11-28T09:29:37Z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3B9AEE7C341A4E0C816759C8C7B154D7_11</vt:lpwstr>
  </property>
</Properties>
</file>