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11" w:rsidRDefault="000A3111" w:rsidP="000A3111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0A3111" w:rsidRDefault="000A3111" w:rsidP="000A3111">
      <w:pPr>
        <w:jc w:val="center"/>
        <w:rPr>
          <w:rFonts w:ascii="黑体" w:eastAsia="黑体" w:hAnsi="宋体" w:cs="黑体"/>
          <w:spacing w:val="-8"/>
          <w:sz w:val="44"/>
          <w:szCs w:val="44"/>
        </w:rPr>
      </w:pPr>
      <w:r>
        <w:rPr>
          <w:rFonts w:ascii="黑体" w:eastAsia="黑体" w:hAnsi="宋体" w:cs="黑体"/>
          <w:spacing w:val="-8"/>
          <w:sz w:val="44"/>
          <w:szCs w:val="44"/>
          <w:lang/>
        </w:rPr>
        <w:t>核发（变更）兽药生产许可证和GMP证企业名单</w:t>
      </w:r>
    </w:p>
    <w:p w:rsidR="000A3111" w:rsidRDefault="000A3111" w:rsidP="000A3111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 xml:space="preserve"> </w:t>
      </w:r>
    </w:p>
    <w:tbl>
      <w:tblPr>
        <w:tblW w:w="54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3"/>
        <w:gridCol w:w="1365"/>
        <w:gridCol w:w="3492"/>
        <w:gridCol w:w="2940"/>
        <w:gridCol w:w="2443"/>
        <w:gridCol w:w="1944"/>
        <w:gridCol w:w="1591"/>
        <w:gridCol w:w="1216"/>
      </w:tblGrid>
      <w:tr w:rsidR="000A3111" w:rsidTr="00AF503C">
        <w:trPr>
          <w:trHeight w:val="584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lang/>
              </w:rPr>
              <w:t>序号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/>
              </w:rPr>
              <w:t>企业名称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/>
              </w:rPr>
              <w:t>生产范围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/>
              </w:rPr>
              <w:t>生产地址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/>
              </w:rPr>
              <w:t>GMP证书号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/>
              </w:rPr>
              <w:t>生产许可证号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/>
              </w:rPr>
              <w:t>有效期至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/>
              </w:rPr>
              <w:t>备注</w:t>
            </w:r>
          </w:p>
        </w:tc>
      </w:tr>
      <w:tr w:rsidR="000A3111" w:rsidTr="00AF503C">
        <w:trPr>
          <w:trHeight w:val="2317"/>
          <w:jc w:val="center"/>
        </w:trPr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  <w:lang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山东亚康药业股份有限公司</w:t>
            </w:r>
          </w:p>
        </w:tc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粉剂/预混剂（2条）、散剂(含中药提取）、片剂/颗粒剂（含中药提取）、口服溶液剂（含中药提取）、消毒剂（固体）、消毒剂（液体）、中药提取（甘草浸膏）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潍坊市寒亭区亚星路819号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（2022）兽药GMP证字15005号</w:t>
            </w:r>
          </w:p>
          <w:p w:rsidR="000A3111" w:rsidRDefault="000A3111" w:rsidP="00AF503C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（2022）兽药生产证字15067号</w:t>
            </w:r>
          </w:p>
          <w:p w:rsidR="000A3111" w:rsidRDefault="000A3111" w:rsidP="00AF503C">
            <w:pPr>
              <w:widowControl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GMP证书有效期：2027年1月16日</w:t>
            </w:r>
          </w:p>
          <w:p w:rsidR="000A3111" w:rsidRDefault="000A3111" w:rsidP="00AF503C">
            <w:pPr>
              <w:rPr>
                <w:rFonts w:ascii="宋体" w:hAnsi="宋体" w:cs="宋体" w:hint="eastAsia"/>
                <w:sz w:val="24"/>
              </w:rPr>
            </w:pPr>
          </w:p>
          <w:p w:rsidR="000A3111" w:rsidRDefault="000A3111" w:rsidP="00AF503C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生产许可证有效期：2027年1 月6日</w:t>
            </w:r>
          </w:p>
          <w:p w:rsidR="000A3111" w:rsidRDefault="000A3111" w:rsidP="00AF503C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111" w:rsidRDefault="000A3111" w:rsidP="00AF503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变更生产线范围（散剂加上含中药提取）</w:t>
            </w:r>
          </w:p>
        </w:tc>
      </w:tr>
    </w:tbl>
    <w:p w:rsidR="000A3111" w:rsidRDefault="000A3111" w:rsidP="000A3111">
      <w:pPr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  <w:lang/>
        </w:rPr>
        <w:t xml:space="preserve"> </w:t>
      </w:r>
    </w:p>
    <w:p w:rsidR="000A3111" w:rsidRDefault="000A3111" w:rsidP="000A3111">
      <w:pPr>
        <w:rPr>
          <w:rFonts w:ascii="宋体" w:hAnsi="宋体" w:cs="宋体" w:hint="eastAsia"/>
          <w:szCs w:val="21"/>
        </w:rPr>
      </w:pPr>
    </w:p>
    <w:p w:rsidR="000A3111" w:rsidRDefault="000A3111" w:rsidP="000A3111"/>
    <w:p w:rsidR="002B53FC" w:rsidRPr="000A3111" w:rsidRDefault="002B53FC"/>
    <w:sectPr w:rsidR="002B53FC" w:rsidRPr="000A3111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111"/>
    <w:rsid w:val="000A3111"/>
    <w:rsid w:val="002B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2023-12-27T02:37:00Z</dcterms:created>
  <dcterms:modified xsi:type="dcterms:W3CDTF">2023-12-27T02:37:00Z</dcterms:modified>
</cp:coreProperties>
</file>