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66" w:rsidRDefault="002B5539">
      <w:pPr>
        <w:pStyle w:val="2"/>
      </w:pPr>
      <w:r>
        <w:rPr>
          <w:rFonts w:hint="eastAsia"/>
        </w:rPr>
        <w:t>解读</w:t>
      </w:r>
      <w:r w:rsidR="00273BBE">
        <w:rPr>
          <w:rFonts w:hint="eastAsia"/>
        </w:rPr>
        <w:t>草案</w:t>
      </w:r>
    </w:p>
    <w:p w:rsidR="00524366" w:rsidRDefault="0052436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24366" w:rsidRDefault="00530AA9" w:rsidP="00273BBE">
      <w:pPr>
        <w:pStyle w:val="1"/>
        <w:ind w:firstLine="640"/>
        <w:rPr>
          <w:rFonts w:ascii="黑体" w:eastAsia="黑体" w:hAnsi="黑体" w:cstheme="minorBidi"/>
          <w:szCs w:val="32"/>
        </w:rPr>
      </w:pPr>
      <w:r>
        <w:rPr>
          <w:rFonts w:ascii="黑体" w:eastAsia="黑体" w:hAnsi="黑体" w:cstheme="minorBidi" w:hint="eastAsia"/>
          <w:szCs w:val="32"/>
        </w:rPr>
        <w:t>一、出台背景</w:t>
      </w:r>
    </w:p>
    <w:p w:rsidR="00524366" w:rsidRDefault="00530AA9">
      <w:pPr>
        <w:pStyle w:val="Normal28c48232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近年来，全省兽医实验室建设取得明显成效，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各级实验室均能按照有关国家标准、技术规范和操作规程从事病原微生物相关实验活动,</w:t>
      </w:r>
      <w:r>
        <w:rPr>
          <w:rFonts w:ascii="仿宋_GB2312" w:eastAsia="仿宋_GB2312" w:cs="仿宋_GB2312" w:hint="eastAsia"/>
          <w:sz w:val="32"/>
          <w:szCs w:val="32"/>
        </w:rPr>
        <w:t>进一步适应当前人畜共患病防控工作需要，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全省动物疫病的预防和控制提供了坚实基础支撑。为加强动物病原微生物实验室生物安全管理，完善备案工作制度，规范实验室备案内容与程序，根据《中华人民共和国动物防疫法》《中华人民共和国生物安全法》《病原微生物实验室生物安全管理条例》等法律法规，以及《农业农村部办公厅关于加强一级、二级动物病原微生物实验室备案工作的指导意见》（农办牧﹝2024﹞2号）要求，结合我省实际，制定本办法。</w:t>
      </w:r>
    </w:p>
    <w:p w:rsidR="00524366" w:rsidRDefault="00530AA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二、主要内容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《办法》共18条，并附3个附表，主要内容包括制定依据、适用范围、实施部门和备案程序及具体要求等。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（一）制定依据。</w:t>
      </w:r>
      <w:r>
        <w:rPr>
          <w:rFonts w:ascii="Times New Roman" w:eastAsia="仿宋_GB2312" w:hAnsi="Times New Roman" w:cs="Times New Roman"/>
          <w:sz w:val="32"/>
          <w:szCs w:val="32"/>
        </w:rPr>
        <w:t>根据《中华人民共和国动物防疫法》《中华人民共和国生物安全法》《病原微生物实验室生物安全管理条例》等法律法规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，以及农业农村部办公厅《关于加强一级、二级动物病原微生物实验室备案工作的指导意见》（农办牧﹝2024﹞2号）要求，结合工作实际，制</w:t>
      </w:r>
      <w:r>
        <w:rPr>
          <w:rFonts w:ascii="仿宋_GB2312" w:eastAsia="仿宋_GB2312" w:hint="eastAsia"/>
          <w:sz w:val="32"/>
          <w:szCs w:val="32"/>
        </w:rPr>
        <w:t>定本办法。</w:t>
      </w:r>
    </w:p>
    <w:p w:rsidR="00524366" w:rsidRDefault="00530AA9" w:rsidP="00273BBE">
      <w:pPr>
        <w:pStyle w:val="1"/>
        <w:ind w:firstLine="640"/>
      </w:pPr>
      <w:r>
        <w:rPr>
          <w:rFonts w:ascii="楷体_GB2312" w:eastAsia="楷体_GB2312" w:hint="eastAsia"/>
          <w:szCs w:val="32"/>
        </w:rPr>
        <w:lastRenderedPageBreak/>
        <w:t>（二）适用范围。</w:t>
      </w:r>
      <w:r>
        <w:rPr>
          <w:rFonts w:hint="eastAsia"/>
          <w:szCs w:val="32"/>
        </w:rPr>
        <w:t>《办法》适用于</w:t>
      </w:r>
      <w:r>
        <w:rPr>
          <w:rFonts w:hint="eastAsia"/>
        </w:rPr>
        <w:t>山东省行政区域内，从事与动物病原微生物菌（毒）种、样本有关的研究、教学、检测、诊断等活动的一级、二级动物病原微生物实验室（含移动式实验室），不包含水生动物病原微生物实验室和军队实验室。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（三）实施部门。</w:t>
      </w:r>
      <w:r>
        <w:rPr>
          <w:rFonts w:ascii="仿宋_GB2312" w:eastAsia="仿宋_GB2312" w:hint="eastAsia"/>
          <w:sz w:val="32"/>
          <w:szCs w:val="32"/>
        </w:rPr>
        <w:t>市级农业农村主管部门负责本辖区内实验室的备案登记工作。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（四）备案内容。</w:t>
      </w:r>
      <w:r>
        <w:rPr>
          <w:rFonts w:ascii="仿宋_GB2312" w:eastAsia="仿宋_GB2312" w:hint="eastAsia"/>
          <w:sz w:val="32"/>
          <w:szCs w:val="32"/>
        </w:rPr>
        <w:t>主要包括实验室及其设立单位基本情况、实验室负责人情况、工作人员情况、平面布局、主要设施设备、生物安全管理体系、拟从事的实验活动范围等。</w:t>
      </w:r>
    </w:p>
    <w:p w:rsidR="00524366" w:rsidRDefault="00530AA9">
      <w:pPr>
        <w:ind w:firstLineChars="200" w:firstLine="640"/>
        <w:rPr>
          <w:rFonts w:ascii="楷体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（五）备案程序。</w:t>
      </w:r>
      <w:r>
        <w:rPr>
          <w:rFonts w:ascii="仿宋_GB2312" w:eastAsia="仿宋_GB2312" w:cs="Times New Roman" w:hint="eastAsia"/>
          <w:sz w:val="32"/>
          <w:szCs w:val="32"/>
        </w:rPr>
        <w:t>新建、改建或者扩建实验室的设立单位在实验室备案前应进行自我评估；自我评估后应及时向实验室所在地（移动式实验室设立单位所在地）市级农业农村主管部门提交备案材料；各市农业农村主管部门在收到实验室备案材料后，应当及时审核，对材料齐全且备案信息完整的应当在5个工作日内完成备案登记手续，发放《山东省动物病原微生物实验室备案凭证》。</w:t>
      </w:r>
    </w:p>
    <w:p w:rsidR="00524366" w:rsidRDefault="00530AA9" w:rsidP="00273BBE">
      <w:pPr>
        <w:pStyle w:val="1"/>
        <w:ind w:firstLine="640"/>
      </w:pPr>
      <w:r>
        <w:rPr>
          <w:rFonts w:ascii="楷体_GB2312" w:eastAsia="楷体_GB2312" w:hint="eastAsia"/>
          <w:szCs w:val="32"/>
        </w:rPr>
        <w:t>（六）备案时间要求。</w:t>
      </w:r>
      <w:r>
        <w:rPr>
          <w:rFonts w:hint="eastAsia"/>
        </w:rPr>
        <w:t>已建成并备案的实验室应当在本办法施行之日起1个月内向所在地市级农业农村（畜牧兽医）主管部门重新申请备案；已建成未备案的实验室应在本办法施行之日起2个月内向所在地市级农业农村（畜牧兽医）主管部门申请备案；新建、改建、扩建的实验室，应当在新建、</w:t>
      </w:r>
      <w:r>
        <w:rPr>
          <w:rFonts w:hint="eastAsia"/>
        </w:rPr>
        <w:lastRenderedPageBreak/>
        <w:t>改建、扩建完成后正式开展实验活动前进行备案。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（七）备案变更和注销。</w:t>
      </w:r>
      <w:r>
        <w:rPr>
          <w:rFonts w:eastAsia="仿宋_GB2312" w:cs="Times New Roman" w:hint="eastAsia"/>
          <w:sz w:val="32"/>
          <w:szCs w:val="22"/>
        </w:rPr>
        <w:t>实验室名称、地址、生物安全防护水平等事项发生变化的应重新申请备案。备</w:t>
      </w:r>
      <w:r>
        <w:rPr>
          <w:rFonts w:ascii="仿宋_GB2312" w:eastAsia="仿宋_GB2312" w:hint="eastAsia"/>
          <w:sz w:val="32"/>
          <w:szCs w:val="32"/>
        </w:rPr>
        <w:t>案的实验室不再从事实验活动的，应及时向原备案部门交回备案凭证，由原备案部门注销备案。</w:t>
      </w:r>
    </w:p>
    <w:p w:rsidR="00524366" w:rsidRDefault="00530AA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三、出台意义</w:t>
      </w:r>
    </w:p>
    <w:p w:rsidR="00524366" w:rsidRDefault="00530A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该《办法》出台，贯彻落实了习近平总书记关于生物安全的重要指示精神及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农业农村部办公厅《关于加强一级、二级动物病原微生物实验室备案工作的指导意见》（农办牧﹝2024﹞2号）</w:t>
      </w:r>
      <w:r>
        <w:rPr>
          <w:rFonts w:ascii="仿宋_GB2312" w:eastAsia="仿宋_GB2312" w:hint="eastAsia"/>
          <w:sz w:val="32"/>
          <w:szCs w:val="32"/>
        </w:rPr>
        <w:t>文件要求，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完善了一级、二级实验室备案制度</w:t>
      </w:r>
      <w:r>
        <w:rPr>
          <w:rFonts w:ascii="仿宋_GB2312" w:eastAsia="仿宋_GB2312" w:hint="eastAsia"/>
          <w:sz w:val="32"/>
          <w:szCs w:val="32"/>
        </w:rPr>
        <w:t>，压实了农业农村部门属地管理责任，为</w:t>
      </w:r>
      <w:r>
        <w:rPr>
          <w:rFonts w:ascii="仿宋_GB2312" w:eastAsia="仿宋_GB2312" w:hAnsi="仿宋_GB2312" w:cs="仿宋_GB2312" w:hint="eastAsia"/>
          <w:sz w:val="32"/>
          <w:szCs w:val="32"/>
        </w:rPr>
        <w:t>动物病原微生物实验室</w:t>
      </w:r>
      <w:r>
        <w:rPr>
          <w:rFonts w:ascii="仿宋_GB2312" w:eastAsia="仿宋_GB2312" w:hint="eastAsia"/>
          <w:sz w:val="32"/>
          <w:szCs w:val="32"/>
        </w:rPr>
        <w:t>应备尽备，确保实验室生物安全，有效提升监管能力提供了政策保障。</w:t>
      </w:r>
      <w:bookmarkStart w:id="0" w:name="_GoBack"/>
      <w:bookmarkEnd w:id="0"/>
    </w:p>
    <w:sectPr w:rsidR="00524366" w:rsidSect="0052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BE" w:rsidRDefault="005402BE" w:rsidP="00273BBE">
      <w:r>
        <w:separator/>
      </w:r>
    </w:p>
  </w:endnote>
  <w:endnote w:type="continuationSeparator" w:id="0">
    <w:p w:rsidR="005402BE" w:rsidRDefault="005402BE" w:rsidP="00273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BE" w:rsidRDefault="005402BE" w:rsidP="00273BBE">
      <w:r>
        <w:separator/>
      </w:r>
    </w:p>
  </w:footnote>
  <w:footnote w:type="continuationSeparator" w:id="0">
    <w:p w:rsidR="005402BE" w:rsidRDefault="005402BE" w:rsidP="00273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Y0YjM2ZDhkMjQwNWM1OTliOWM4N2M1ZGRkYjIxZTMifQ=="/>
  </w:docVars>
  <w:rsids>
    <w:rsidRoot w:val="1AAE323F"/>
    <w:rsid w:val="00273BBE"/>
    <w:rsid w:val="002B5539"/>
    <w:rsid w:val="004E0819"/>
    <w:rsid w:val="00524366"/>
    <w:rsid w:val="00530AA9"/>
    <w:rsid w:val="005402BE"/>
    <w:rsid w:val="1AAE323F"/>
    <w:rsid w:val="1B0E6672"/>
    <w:rsid w:val="21327C92"/>
    <w:rsid w:val="3B0912E0"/>
    <w:rsid w:val="54FA08B4"/>
    <w:rsid w:val="7517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3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436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24366"/>
    <w:rPr>
      <w:b/>
      <w:bCs/>
    </w:rPr>
  </w:style>
  <w:style w:type="character" w:styleId="a5">
    <w:name w:val="FollowedHyperlink"/>
    <w:basedOn w:val="a0"/>
    <w:rsid w:val="00524366"/>
    <w:rPr>
      <w:color w:val="333333"/>
      <w:u w:val="none"/>
    </w:rPr>
  </w:style>
  <w:style w:type="character" w:styleId="a6">
    <w:name w:val="Hyperlink"/>
    <w:basedOn w:val="a0"/>
    <w:rsid w:val="00524366"/>
    <w:rPr>
      <w:color w:val="333333"/>
      <w:u w:val="none"/>
    </w:rPr>
  </w:style>
  <w:style w:type="paragraph" w:customStyle="1" w:styleId="1">
    <w:name w:val="样式1"/>
    <w:basedOn w:val="a"/>
    <w:rsid w:val="00524366"/>
    <w:pPr>
      <w:ind w:firstLineChars="200" w:firstLine="420"/>
    </w:pPr>
    <w:rPr>
      <w:rFonts w:ascii="仿宋_GB2312" w:eastAsia="仿宋_GB2312" w:hAnsi="仿宋_GB2312" w:cs="Times New Roman"/>
      <w:sz w:val="32"/>
    </w:rPr>
  </w:style>
  <w:style w:type="paragraph" w:customStyle="1" w:styleId="2">
    <w:name w:val="样式2（标题）"/>
    <w:basedOn w:val="a"/>
    <w:rsid w:val="00524366"/>
    <w:pPr>
      <w:spacing w:line="600" w:lineRule="exact"/>
      <w:jc w:val="center"/>
    </w:pPr>
    <w:rPr>
      <w:rFonts w:ascii="方正小标宋简体" w:eastAsia="方正小标宋简体" w:hAnsi="方正小标宋简体" w:cs="Times New Roman"/>
      <w:sz w:val="44"/>
    </w:rPr>
  </w:style>
  <w:style w:type="paragraph" w:customStyle="1" w:styleId="Normal28c48232">
    <w:name w:val="Normal28c48232"/>
    <w:qFormat/>
    <w:rsid w:val="005243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header"/>
    <w:basedOn w:val="a"/>
    <w:link w:val="Char"/>
    <w:rsid w:val="0027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73B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7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73B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李善成</dc:creator>
  <cp:lastModifiedBy>吴蕾</cp:lastModifiedBy>
  <cp:revision>3</cp:revision>
  <dcterms:created xsi:type="dcterms:W3CDTF">2024-12-04T02:20:00Z</dcterms:created>
  <dcterms:modified xsi:type="dcterms:W3CDTF">2024-12-05T07:55:00Z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BE88329ACA9F4A0297EA93D3D55654B2_11</vt:lpwstr>
  </property>
</Properties>
</file>