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4B" w:rsidRDefault="00236B4B" w:rsidP="00236B4B">
      <w:pPr>
        <w:pStyle w:val="NormalNormal"/>
        <w:widowControl/>
        <w:autoSpaceDE w:val="0"/>
        <w:spacing w:line="580" w:lineRule="exact"/>
        <w:jc w:val="lef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  <w:lang/>
        </w:rPr>
        <w:t>附件1</w:t>
      </w:r>
    </w:p>
    <w:p w:rsidR="00236B4B" w:rsidRDefault="00236B4B" w:rsidP="00236B4B">
      <w:pPr>
        <w:pStyle w:val="NormalNormal"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 xml:space="preserve"> </w:t>
      </w:r>
    </w:p>
    <w:p w:rsidR="00236B4B" w:rsidRDefault="00236B4B" w:rsidP="00236B4B">
      <w:pPr>
        <w:pStyle w:val="NormalNormal"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全省人畜共患病防控工作选优决赛</w:t>
      </w:r>
    </w:p>
    <w:p w:rsidR="00236B4B" w:rsidRDefault="00236B4B" w:rsidP="00236B4B">
      <w:pPr>
        <w:pStyle w:val="NormalNormal"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评分细则和评分标准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</w:p>
    <w:p w:rsidR="00236B4B" w:rsidRDefault="00236B4B" w:rsidP="00236B4B">
      <w:pPr>
        <w:pStyle w:val="a4"/>
        <w:autoSpaceDE w:val="0"/>
        <w:spacing w:line="580" w:lineRule="exact"/>
        <w:ind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一、人畜共患病理论知识考核（20分）</w:t>
      </w:r>
    </w:p>
    <w:p w:rsidR="00236B4B" w:rsidRDefault="00236B4B" w:rsidP="00236B4B">
      <w:pPr>
        <w:pStyle w:val="NormalNormal"/>
        <w:widowControl/>
        <w:autoSpaceDE w:val="0"/>
        <w:spacing w:line="5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理论知识考试采用闭卷方式，统一试卷，由各参赛队1名队员完成。</w:t>
      </w:r>
    </w:p>
    <w:p w:rsidR="00236B4B" w:rsidRDefault="00236B4B" w:rsidP="00236B4B">
      <w:pPr>
        <w:pStyle w:val="a4"/>
        <w:autoSpaceDE w:val="0"/>
        <w:spacing w:line="580" w:lineRule="exact"/>
        <w:ind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二、</w:t>
      </w:r>
      <w:bookmarkStart w:id="0" w:name="_Hlk174544891"/>
      <w:bookmarkStart w:id="1" w:name="_Hlk174544937"/>
      <w:bookmarkEnd w:id="0"/>
      <w:r>
        <w:rPr>
          <w:rFonts w:ascii="黑体" w:eastAsia="黑体" w:hAnsi="宋体" w:cs="黑体"/>
          <w:sz w:val="32"/>
          <w:szCs w:val="32"/>
        </w:rPr>
        <w:t>人畜共患病防控实施方案评估</w:t>
      </w:r>
      <w:bookmarkEnd w:id="1"/>
      <w:r>
        <w:rPr>
          <w:rFonts w:ascii="黑体" w:eastAsia="黑体" w:hAnsi="宋体" w:cs="黑体"/>
          <w:sz w:val="32"/>
          <w:szCs w:val="32"/>
        </w:rPr>
        <w:t>（40分）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组织专家结合区域特点、畜种分布情况，对各参赛队提交方案的可行性进行评估。</w:t>
      </w:r>
    </w:p>
    <w:p w:rsidR="00236B4B" w:rsidRDefault="00236B4B" w:rsidP="00236B4B">
      <w:pPr>
        <w:pStyle w:val="a4"/>
        <w:autoSpaceDE w:val="0"/>
        <w:spacing w:line="580" w:lineRule="exact"/>
        <w:ind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三、人畜共患病防控工作创新 PPT 汇报（40分）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每队1名参赛选手进行PPT汇报，汇报总时长为15分钟。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各市按照开展疫病净化工作的具体步骤，围绕人畜共患病防控工作中联防联控措施、创新技术、宣传培训、防控效果等方面，着重</w:t>
      </w:r>
      <w:r>
        <w:rPr>
          <w:rFonts w:ascii="仿宋_GB2312" w:eastAsia="仿宋_GB2312" w:cs="仿宋_GB2312" w:hint="eastAsia"/>
          <w:bCs/>
          <w:sz w:val="32"/>
          <w:szCs w:val="32"/>
          <w:lang/>
        </w:rPr>
        <w:t>突出科普宣传、教育培训和联防联控工作中</w:t>
      </w:r>
      <w:r>
        <w:rPr>
          <w:rFonts w:ascii="仿宋_GB2312" w:eastAsia="仿宋_GB2312" w:cs="仿宋_GB2312" w:hint="eastAsia"/>
          <w:sz w:val="32"/>
          <w:szCs w:val="32"/>
          <w:lang/>
        </w:rPr>
        <w:t>新技术、新方法、新手段的推广应用以及取得成绩效果（包含经济效益）进行汇报展示。用时不超过15分钟，超时1分钟扣1分。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四、决赛评分办法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按照公平、公正、客观的原则进行评分。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lang/>
        </w:rPr>
        <w:t>（一）评委组成。</w:t>
      </w:r>
      <w:r>
        <w:rPr>
          <w:rFonts w:ascii="仿宋_GB2312" w:eastAsia="仿宋_GB2312" w:cs="仿宋_GB2312" w:hint="eastAsia"/>
          <w:sz w:val="32"/>
          <w:szCs w:val="32"/>
          <w:lang/>
        </w:rPr>
        <w:t>大赛设评委成员5名，由大赛组委会聘请相关行业技术专家、高等院校高级职称教师等专业技术人员为评</w:t>
      </w:r>
      <w:r>
        <w:rPr>
          <w:rFonts w:ascii="仿宋_GB2312" w:eastAsia="仿宋_GB2312" w:cs="仿宋_GB2312" w:hint="eastAsia"/>
          <w:sz w:val="32"/>
          <w:szCs w:val="32"/>
          <w:lang/>
        </w:rPr>
        <w:lastRenderedPageBreak/>
        <w:t>委。评委组设组长1名，副组长2名。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lang/>
        </w:rPr>
        <w:t>（二）评分方法。</w:t>
      </w:r>
      <w:r>
        <w:rPr>
          <w:rFonts w:ascii="仿宋_GB2312" w:eastAsia="仿宋_GB2312" w:cs="仿宋_GB2312" w:hint="eastAsia"/>
          <w:sz w:val="32"/>
          <w:szCs w:val="32"/>
          <w:lang/>
        </w:rPr>
        <w:t>竞赛现场每位评委对每一名选手分别打分， 由评委组统一评分，去掉一个最高分，去掉一个最低分，其余得分的算术平均值作为参赛选手的最后得分。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各评委首先审核选手原始打分成绩，并签名；赛项评委组长对所有评委的打分成绩进行审核，并签名。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总得分相同者，按PPT汇报考核得分高低排序。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lang/>
        </w:rPr>
        <w:t>（三）成绩公布。</w:t>
      </w:r>
      <w:r>
        <w:rPr>
          <w:rFonts w:ascii="仿宋_GB2312" w:eastAsia="仿宋_GB2312" w:cs="仿宋_GB2312" w:hint="eastAsia"/>
          <w:sz w:val="32"/>
          <w:szCs w:val="32"/>
          <w:lang/>
        </w:rPr>
        <w:t>决赛成绩由评委组长签字确认，竞赛组委会公布。</w:t>
      </w:r>
    </w:p>
    <w:p w:rsidR="00236B4B" w:rsidRDefault="00236B4B" w:rsidP="00236B4B">
      <w:pPr>
        <w:pStyle w:val="NormalNormal"/>
        <w:spacing w:line="600" w:lineRule="exact"/>
        <w:ind w:firstLineChars="100" w:firstLine="320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  <w:lang/>
        </w:rPr>
      </w:pPr>
      <w:r>
        <w:rPr>
          <w:rFonts w:ascii="黑体" w:eastAsia="黑体" w:hAnsi="宋体" w:cs="黑体"/>
          <w:bCs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  <w:lang/>
        </w:rPr>
      </w:pPr>
    </w:p>
    <w:p w:rsidR="00236B4B" w:rsidRDefault="00236B4B" w:rsidP="00236B4B">
      <w:pPr>
        <w:pStyle w:val="NormalNormal"/>
        <w:spacing w:line="600" w:lineRule="exact"/>
        <w:rPr>
          <w:rFonts w:ascii="黑体" w:eastAsia="黑体" w:hAnsi="宋体" w:cs="黑体"/>
          <w:bCs/>
          <w:sz w:val="32"/>
          <w:szCs w:val="32"/>
          <w:lang/>
        </w:rPr>
      </w:pPr>
    </w:p>
    <w:p w:rsidR="00236B4B" w:rsidRDefault="00236B4B" w:rsidP="00236B4B">
      <w:pPr>
        <w:pStyle w:val="NormalNormal"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lastRenderedPageBreak/>
        <w:t>全省人畜共患病防控工作选优决赛评分标准</w:t>
      </w:r>
    </w:p>
    <w:p w:rsidR="00236B4B" w:rsidRDefault="00236B4B" w:rsidP="00236B4B">
      <w:pPr>
        <w:pStyle w:val="NormalNormal"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 xml:space="preserve"> </w:t>
      </w:r>
    </w:p>
    <w:tbl>
      <w:tblPr>
        <w:tblStyle w:val="NormalTableTableNormal"/>
        <w:tblW w:w="4998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46"/>
        <w:gridCol w:w="1292"/>
        <w:gridCol w:w="2140"/>
        <w:gridCol w:w="994"/>
        <w:gridCol w:w="3998"/>
      </w:tblGrid>
      <w:tr w:rsidR="00236B4B" w:rsidTr="00492080">
        <w:trPr>
          <w:trHeight w:val="573"/>
          <w:jc w:val="center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4"/>
                <w:lang/>
              </w:rPr>
              <w:t>序号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4"/>
                <w:lang/>
              </w:rPr>
              <w:t>考核</w:t>
            </w:r>
          </w:p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4"/>
                <w:lang/>
              </w:rPr>
              <w:t>内容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4"/>
                <w:lang/>
              </w:rPr>
              <w:t>考核要点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4"/>
                <w:lang/>
              </w:rPr>
              <w:t>分</w:t>
            </w:r>
          </w:p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4"/>
                <w:lang/>
              </w:rPr>
              <w:t>值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4"/>
                <w:lang/>
              </w:rPr>
              <w:t>评分标准</w:t>
            </w:r>
          </w:p>
        </w:tc>
      </w:tr>
      <w:tr w:rsidR="00236B4B" w:rsidTr="00492080">
        <w:trPr>
          <w:trHeight w:val="573"/>
          <w:jc w:val="center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b/>
                <w:bCs/>
                <w:sz w:val="24"/>
              </w:rPr>
            </w:pP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b/>
                <w:bCs/>
                <w:sz w:val="24"/>
              </w:rPr>
            </w:pP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b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hAnsi="Calibri" w:cs="仿宋_GB2312"/>
                <w:sz w:val="24"/>
                <w:lang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理论知</w:t>
            </w:r>
          </w:p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识考核</w:t>
            </w:r>
          </w:p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(20分)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人畜共患病理论知识考核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20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统一试卷，满分20分。</w:t>
            </w:r>
          </w:p>
        </w:tc>
      </w:tr>
      <w:tr w:rsidR="00236B4B" w:rsidTr="00492080">
        <w:trPr>
          <w:trHeight w:val="940"/>
          <w:jc w:val="center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人畜共患病防控实施方案评估（40分）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结构清晰、目标明确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bookmarkStart w:id="2" w:name="OLE_LINK4"/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  <w:bookmarkEnd w:id="2"/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结构清晰、目标明确，</w:t>
            </w:r>
            <w:bookmarkStart w:id="3" w:name="OLE_LINK6"/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得</w:t>
            </w:r>
            <w:bookmarkEnd w:id="3"/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5分。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实施方案科学性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一病一策，分病种、分区域、分阶段采取差异化防治策略,</w:t>
            </w:r>
            <w:bookmarkStart w:id="4" w:name="OLE_LINK5"/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得</w:t>
            </w:r>
            <w:bookmarkEnd w:id="4"/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2.5分；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防治措施有针对性,得2.5分。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实施方案可行性和创新性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2.5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可行性、创新性强，得2.5分。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实施方案内容能覆盖区域内畜禽种类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4"/>
                <w:lang/>
              </w:rPr>
              <w:t>至少包含布病、炭疽、牛结核病、狂犬病（犬）、沙门氏菌病（禽）、高致病性禽流感、口蹄疫等主要疫病，每包含一个病种得1分，最高5分。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实施方案能反应辖区内规模场数量（生猪、家禽、牛、羊，其他动物等）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2.5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能反应生猪、家禽、牛、羊和其他动物数量，每包含一种动物得0.5分，最高2.5分。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创新点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每提出一个创新点得5分，最高10分。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人间疫情处置和联防联控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与疾控等其他政府部门开展联防联控工作，联合处置、溯源疫情和开展流行病学调查、监测以及防治知识宣传等工作。每一项得2分。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lastRenderedPageBreak/>
              <w:t>3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人畜共患病防控工作创新 PPT汇报（40分）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用时合理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用时不超过15分钟得5分，每超1分钟扣1分（不到1分钟按1分钟计算），直至扣完为止。</w:t>
            </w:r>
          </w:p>
        </w:tc>
      </w:tr>
      <w:tr w:rsidR="00236B4B" w:rsidTr="00492080">
        <w:trPr>
          <w:trHeight w:val="103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创新防控知识科普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制作新闻宣传片、短视频等：利用微博、微信、抖音、快手等方式和电视、电台等主流媒体平台进行宣传；防控进基层，通过当地电台、电视台等制作宣传访谈节目，或者开展科技下乡、乡村大喇叭循环宣传等，每一创新点得1分，最高5分。</w:t>
            </w:r>
          </w:p>
        </w:tc>
      </w:tr>
      <w:tr w:rsidR="00236B4B" w:rsidTr="00492080">
        <w:trPr>
          <w:trHeight w:val="97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健康教育培训新模式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开展多种形式健康教育培训，包括组织线上和线下培训讲座；采取走村入户指导、现场培训等形式；对动物养殖、屠宰加工、动物疫病防控等高风险从业人员定期组织开展专项健康教育；对社会公众进行健康饮食习惯和良好个人卫生习惯培训，增强疫病防控能力和自我保护意识培训等。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每一培训方式得1分，最高5分。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</w:p>
        </w:tc>
      </w:tr>
      <w:tr w:rsidR="00236B4B" w:rsidTr="00492080">
        <w:trPr>
          <w:trHeight w:val="97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防控新技术培训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制定畜间人兽共患病防控培训计划，得2.5分；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分类编制人兽共患病防治指南，得2.5分。</w:t>
            </w:r>
          </w:p>
        </w:tc>
      </w:tr>
      <w:tr w:rsidR="00236B4B" w:rsidTr="00492080">
        <w:trPr>
          <w:trHeight w:val="976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adjustRightInd w:val="0"/>
              <w:snapToGrid w:val="0"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案例宣讲（定期公开养殖、运输、屠宰、病死畜禽无害化处理等环节查处的典型违法案例，特别是移交公安部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lastRenderedPageBreak/>
              <w:t>门查办的刑事违法案件，公开宣讲、以案说法，并提供政策法规咨询解答）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lastRenderedPageBreak/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每个案例宣讲得2.5分，总分5分。</w:t>
            </w:r>
          </w:p>
        </w:tc>
      </w:tr>
      <w:tr w:rsidR="00236B4B" w:rsidTr="00492080">
        <w:trPr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大数据信息、人工智能技术的创新应用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探索利用大数据信息、人工智能技术确定重点人群和对象，精准推送畜间人兽共患病防治信息，</w:t>
            </w:r>
            <w:bookmarkStart w:id="5" w:name="OLE_LINK7"/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得2.5分</w:t>
            </w:r>
            <w:bookmarkEnd w:id="5"/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；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及时发布疫病监测情况和风险提示，大数据信息，人工智能技术每应用一项，得2.5分。</w:t>
            </w:r>
          </w:p>
        </w:tc>
      </w:tr>
      <w:tr w:rsidR="00236B4B" w:rsidTr="00492080">
        <w:trPr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政府各部门分工明确，各司其职开展联防联控机制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有农业农村、卫生健康、海关、林草等部门建立人兽共患病情况通报、联合会商等工作制度，得1分；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动物疫控、人间疾控建立联防联控机制，开展风险评估，得2分;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联合开展疫病防治知识宣传教育，指导高危人群做好个人防护，得1分；</w:t>
            </w:r>
          </w:p>
          <w:p w:rsidR="00236B4B" w:rsidRDefault="00236B4B" w:rsidP="00492080">
            <w:pPr>
              <w:widowControl/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配合宣传部门做好媒体风险沟通，减少舆情风险，得1分。</w:t>
            </w:r>
          </w:p>
        </w:tc>
      </w:tr>
      <w:tr w:rsidR="00236B4B" w:rsidTr="00492080">
        <w:trPr>
          <w:trHeight w:val="253"/>
          <w:jc w:val="center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疫病防控实施成绩效果，实际情况展示（包含经济效益等）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参考评分要点：</w:t>
            </w:r>
          </w:p>
          <w:p w:rsidR="00236B4B" w:rsidRDefault="00236B4B" w:rsidP="00492080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防控成效显著，产生明显的社会和经济效益，得5分。</w:t>
            </w:r>
          </w:p>
        </w:tc>
      </w:tr>
    </w:tbl>
    <w:p w:rsidR="00236B4B" w:rsidRDefault="00236B4B" w:rsidP="00236B4B">
      <w:pPr>
        <w:pStyle w:val="NormalNormal"/>
        <w:spacing w:line="600" w:lineRule="exact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  <w:lang/>
        </w:rPr>
        <w:t>注：打分细则，不排除现场根据整体情况进行调整。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autoSpaceDE w:val="0"/>
        <w:spacing w:line="580" w:lineRule="exact"/>
        <w:ind w:firstLineChars="200" w:firstLine="560"/>
        <w:jc w:val="left"/>
        <w:rPr>
          <w:rFonts w:ascii="仿宋_GB2312" w:eastAsia="仿宋_GB2312" w:cs="仿宋_GB2312"/>
          <w:spacing w:val="-20"/>
          <w:sz w:val="32"/>
          <w:szCs w:val="32"/>
        </w:rPr>
      </w:pPr>
    </w:p>
    <w:p w:rsidR="00236B4B" w:rsidRDefault="00236B4B" w:rsidP="00236B4B">
      <w:pPr>
        <w:pStyle w:val="NormalNormal"/>
        <w:spacing w:line="600" w:lineRule="exact"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sz w:val="32"/>
          <w:szCs w:val="32"/>
          <w:lang/>
        </w:rPr>
        <w:t>附件2</w:t>
      </w:r>
    </w:p>
    <w:p w:rsidR="00236B4B" w:rsidRDefault="00236B4B" w:rsidP="00236B4B">
      <w:pPr>
        <w:pStyle w:val="NormalNormal"/>
        <w:spacing w:line="600" w:lineRule="exact"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sz w:val="32"/>
          <w:szCs w:val="32"/>
          <w:lang/>
        </w:rPr>
        <w:t xml:space="preserve"> </w:t>
      </w:r>
    </w:p>
    <w:p w:rsidR="00236B4B" w:rsidRDefault="00236B4B" w:rsidP="00236B4B">
      <w:pPr>
        <w:pStyle w:val="NormalNormal"/>
        <w:spacing w:line="600" w:lineRule="exact"/>
        <w:jc w:val="center"/>
        <w:rPr>
          <w:rFonts w:ascii="方正小标宋简体" w:eastAsia="方正小标宋简体" w:hAnsi="Times New Roman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决赛选手推荐表</w:t>
      </w:r>
    </w:p>
    <w:p w:rsidR="00236B4B" w:rsidRDefault="00236B4B" w:rsidP="00236B4B">
      <w:pPr>
        <w:pStyle w:val="NormalNormal"/>
        <w:spacing w:line="580" w:lineRule="exact"/>
        <w:jc w:val="left"/>
        <w:rPr>
          <w:rFonts w:ascii="仿宋_GB2312" w:eastAsia="仿宋_GB2312" w:cs="仿宋_GB2312"/>
          <w:sz w:val="30"/>
          <w:szCs w:val="30"/>
        </w:rPr>
      </w:pPr>
      <w:r w:rsidRPr="001255A8">
        <w:rPr>
          <w:rFonts w:ascii="仿宋_GB2312" w:eastAsia="仿宋_GB2312" w:cs="仿宋_GB2312" w:hint="eastAsia"/>
          <w:color w:val="000000"/>
          <w:sz w:val="30"/>
          <w:szCs w:val="30"/>
          <w:lang/>
        </w:rPr>
        <w:t>推荐单位：</w:t>
      </w:r>
      <w:r>
        <w:rPr>
          <w:rFonts w:ascii="仿宋_GB2312" w:eastAsia="仿宋_GB2312" w:cs="仿宋_GB2312" w:hint="eastAsia"/>
          <w:sz w:val="30"/>
          <w:szCs w:val="30"/>
          <w:lang/>
        </w:rPr>
        <w:t xml:space="preserve">                          </w:t>
      </w:r>
    </w:p>
    <w:tbl>
      <w:tblPr>
        <w:tblStyle w:val="NormalTableTableNormal"/>
        <w:tblW w:w="4997" w:type="pct"/>
        <w:jc w:val="center"/>
        <w:tblInd w:w="0" w:type="dxa"/>
        <w:tblLook w:val="04A0"/>
      </w:tblPr>
      <w:tblGrid>
        <w:gridCol w:w="1677"/>
        <w:gridCol w:w="894"/>
        <w:gridCol w:w="1374"/>
        <w:gridCol w:w="904"/>
        <w:gridCol w:w="1439"/>
        <w:gridCol w:w="1065"/>
        <w:gridCol w:w="1815"/>
      </w:tblGrid>
      <w:tr w:rsidR="00236B4B" w:rsidTr="00492080">
        <w:trPr>
          <w:trHeight w:val="664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姓名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性别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民族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近期免冠蓝底照片</w:t>
            </w:r>
          </w:p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（2寸）</w:t>
            </w:r>
          </w:p>
        </w:tc>
      </w:tr>
      <w:tr w:rsidR="00236B4B" w:rsidTr="00492080">
        <w:trPr>
          <w:trHeight w:val="664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出生年月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文化</w:t>
            </w:r>
          </w:p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程度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毕业院校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rPr>
                <w:sz w:val="20"/>
                <w:szCs w:val="20"/>
              </w:rPr>
            </w:pPr>
          </w:p>
        </w:tc>
      </w:tr>
      <w:tr w:rsidR="00236B4B" w:rsidTr="00492080">
        <w:trPr>
          <w:trHeight w:val="664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职称职务/职级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身份证号</w:t>
            </w:r>
          </w:p>
        </w:tc>
        <w:tc>
          <w:tcPr>
            <w:tcW w:w="18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rPr>
                <w:sz w:val="20"/>
                <w:szCs w:val="20"/>
              </w:rPr>
            </w:pPr>
          </w:p>
        </w:tc>
      </w:tr>
      <w:tr w:rsidR="00236B4B" w:rsidTr="00492080">
        <w:trPr>
          <w:trHeight w:val="741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职业（工种）</w:t>
            </w:r>
          </w:p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及等级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职业资格证书编号</w:t>
            </w:r>
          </w:p>
        </w:tc>
        <w:tc>
          <w:tcPr>
            <w:tcW w:w="18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rPr>
                <w:sz w:val="20"/>
                <w:szCs w:val="20"/>
              </w:rPr>
            </w:pPr>
          </w:p>
        </w:tc>
      </w:tr>
      <w:tr w:rsidR="00236B4B" w:rsidTr="00492080">
        <w:trPr>
          <w:trHeight w:val="842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工作单位名称</w:t>
            </w:r>
          </w:p>
        </w:tc>
        <w:tc>
          <w:tcPr>
            <w:tcW w:w="17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参加工作或入学时间</w:t>
            </w:r>
          </w:p>
        </w:tc>
        <w:tc>
          <w:tcPr>
            <w:tcW w:w="15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236B4B" w:rsidTr="00492080">
        <w:trPr>
          <w:trHeight w:val="842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通讯地址</w:t>
            </w:r>
          </w:p>
        </w:tc>
        <w:tc>
          <w:tcPr>
            <w:tcW w:w="17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联系</w:t>
            </w:r>
          </w:p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电话</w:t>
            </w:r>
          </w:p>
        </w:tc>
        <w:tc>
          <w:tcPr>
            <w:tcW w:w="15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236B4B" w:rsidTr="00492080">
        <w:trPr>
          <w:trHeight w:val="1627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个人简历</w:t>
            </w:r>
          </w:p>
        </w:tc>
        <w:tc>
          <w:tcPr>
            <w:tcW w:w="408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rPr>
                <w:rFonts w:ascii="仿宋_GB2312" w:cs="仿宋_GB2312"/>
                <w:sz w:val="24"/>
              </w:rPr>
            </w:pPr>
          </w:p>
        </w:tc>
      </w:tr>
      <w:tr w:rsidR="00236B4B" w:rsidTr="00492080">
        <w:trPr>
          <w:trHeight w:val="1491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所在单位意见</w:t>
            </w:r>
          </w:p>
        </w:tc>
        <w:tc>
          <w:tcPr>
            <w:tcW w:w="408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rPr>
                <w:rFonts w:ascii="仿宋_GB2312" w:cs="仿宋_GB2312"/>
                <w:sz w:val="24"/>
              </w:rPr>
            </w:pPr>
          </w:p>
          <w:p w:rsidR="00236B4B" w:rsidRDefault="00236B4B" w:rsidP="00492080">
            <w:pPr>
              <w:spacing w:line="300" w:lineRule="exact"/>
              <w:ind w:firstLine="4800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（公章）</w:t>
            </w:r>
          </w:p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 xml:space="preserve">                            年      月     日</w:t>
            </w:r>
          </w:p>
        </w:tc>
      </w:tr>
      <w:tr w:rsidR="00236B4B" w:rsidTr="00492080">
        <w:trPr>
          <w:trHeight w:val="1781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市级畜牧兽医部门意见</w:t>
            </w:r>
          </w:p>
        </w:tc>
        <w:tc>
          <w:tcPr>
            <w:tcW w:w="408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spacing w:line="300" w:lineRule="exact"/>
              <w:ind w:left="240" w:hanging="240"/>
              <w:rPr>
                <w:rFonts w:ascii="仿宋_GB2312" w:cs="仿宋_GB2312"/>
                <w:sz w:val="24"/>
              </w:rPr>
            </w:pPr>
          </w:p>
          <w:p w:rsidR="00236B4B" w:rsidRDefault="00236B4B" w:rsidP="00492080">
            <w:pPr>
              <w:spacing w:line="300" w:lineRule="exact"/>
              <w:ind w:left="240" w:hanging="240"/>
              <w:rPr>
                <w:rFonts w:ascii="仿宋_GB2312" w:cs="仿宋_GB2312"/>
                <w:sz w:val="24"/>
              </w:rPr>
            </w:pPr>
          </w:p>
          <w:p w:rsidR="00236B4B" w:rsidRDefault="00236B4B" w:rsidP="00492080">
            <w:pPr>
              <w:spacing w:line="300" w:lineRule="exact"/>
              <w:rPr>
                <w:rFonts w:ascii="仿宋_GB2312" w:cs="仿宋_GB2312"/>
                <w:sz w:val="24"/>
              </w:rPr>
            </w:pPr>
          </w:p>
          <w:p w:rsidR="00236B4B" w:rsidRDefault="00236B4B" w:rsidP="00492080">
            <w:pPr>
              <w:spacing w:line="300" w:lineRule="exact"/>
              <w:ind w:firstLine="4800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（公章）</w:t>
            </w:r>
          </w:p>
          <w:p w:rsidR="00236B4B" w:rsidRDefault="00236B4B" w:rsidP="00492080">
            <w:pPr>
              <w:spacing w:line="3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 xml:space="preserve">                            年      月     日</w:t>
            </w:r>
          </w:p>
        </w:tc>
      </w:tr>
    </w:tbl>
    <w:p w:rsidR="00236B4B" w:rsidRDefault="00236B4B" w:rsidP="00236B4B">
      <w:pPr>
        <w:pStyle w:val="NormalNormal"/>
        <w:jc w:val="left"/>
      </w:pPr>
      <w:r>
        <w:rPr>
          <w:rFonts w:ascii="仿宋_GB2312" w:eastAsia="仿宋_GB2312" w:cs="仿宋_GB2312" w:hint="eastAsia"/>
          <w:szCs w:val="21"/>
          <w:lang/>
        </w:rPr>
        <w:t>注：报名时须交身份证复印件、近3个月的二寸彩色照片2张（应与本推荐表所用照片一致，照片背后注明代表队名和姓名）同时发送照片电子版（以代表队名和姓名命名）</w:t>
      </w:r>
    </w:p>
    <w:p w:rsidR="00236B4B" w:rsidRDefault="00236B4B" w:rsidP="00236B4B">
      <w:pPr>
        <w:pStyle w:val="NormalNormal"/>
        <w:rPr>
          <w:rFonts w:ascii="仿宋_GB2312" w:eastAsia="仿宋_GB2312" w:cs="仿宋_GB2312"/>
          <w:szCs w:val="21"/>
        </w:rPr>
        <w:sectPr w:rsidR="00236B4B">
          <w:footerReference w:type="default" r:id="rId4"/>
          <w:pgSz w:w="11906" w:h="16838"/>
          <w:pgMar w:top="1803" w:right="1474" w:bottom="1803" w:left="1474" w:header="851" w:footer="992" w:gutter="0"/>
          <w:pgNumType w:fmt="numberInDash"/>
          <w:cols w:space="708"/>
          <w:docGrid w:type="lines" w:linePitch="312"/>
        </w:sectPr>
      </w:pPr>
    </w:p>
    <w:p w:rsidR="00236B4B" w:rsidRDefault="00236B4B" w:rsidP="00236B4B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lastRenderedPageBreak/>
        <w:t>附件3</w:t>
      </w:r>
    </w:p>
    <w:p w:rsidR="00236B4B" w:rsidRDefault="00236B4B" w:rsidP="00236B4B">
      <w:pPr>
        <w:pStyle w:val="NormalNormal"/>
        <w:jc w:val="center"/>
        <w:rPr>
          <w:rFonts w:ascii="方正小标宋简体" w:eastAsia="方正小标宋简体" w:hAnsi="Times New Roman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市级代表队人员组成一览表</w:t>
      </w:r>
    </w:p>
    <w:p w:rsidR="00236B4B" w:rsidRDefault="00236B4B" w:rsidP="00236B4B">
      <w:pPr>
        <w:pStyle w:val="NormalNormal"/>
        <w:rPr>
          <w:rFonts w:ascii="仿宋_GB2312" w:eastAsia="仿宋_GB2312" w:cs="仿宋_GB2312"/>
          <w:sz w:val="28"/>
          <w:szCs w:val="28"/>
          <w:lang/>
        </w:rPr>
      </w:pPr>
      <w:r>
        <w:rPr>
          <w:rFonts w:ascii="仿宋_GB2312" w:eastAsia="仿宋_GB2312" w:cs="仿宋_GB2312" w:hint="eastAsia"/>
          <w:sz w:val="28"/>
          <w:szCs w:val="28"/>
          <w:lang/>
        </w:rPr>
        <w:t xml:space="preserve">上报单位：（盖章） </w:t>
      </w:r>
      <w:r>
        <w:rPr>
          <w:rFonts w:ascii="仿宋_GB2312" w:eastAsia="仿宋_GB2312" w:cs="仿宋_GB2312"/>
          <w:sz w:val="28"/>
          <w:szCs w:val="28"/>
          <w:lang/>
        </w:rPr>
        <w:t xml:space="preserve">                               </w:t>
      </w:r>
      <w:r>
        <w:rPr>
          <w:rFonts w:ascii="仿宋_GB2312" w:eastAsia="仿宋_GB2312" w:cs="仿宋_GB2312" w:hint="eastAsia"/>
          <w:sz w:val="28"/>
          <w:szCs w:val="28"/>
          <w:lang/>
        </w:rPr>
        <w:t>年  月  日</w:t>
      </w:r>
    </w:p>
    <w:p w:rsidR="00236B4B" w:rsidRDefault="00236B4B" w:rsidP="00236B4B">
      <w:pPr>
        <w:pStyle w:val="NormalNormal"/>
        <w:spacing w:line="400" w:lineRule="exact"/>
        <w:rPr>
          <w:rFonts w:ascii="仿宋_GB2312" w:eastAsia="仿宋_GB2312" w:cs="仿宋_GB2312"/>
          <w:sz w:val="28"/>
          <w:szCs w:val="28"/>
          <w:lang/>
        </w:rPr>
      </w:pPr>
    </w:p>
    <w:tbl>
      <w:tblPr>
        <w:tblStyle w:val="NormalTableTableNormal"/>
        <w:tblW w:w="5685" w:type="pct"/>
        <w:jc w:val="center"/>
        <w:tblInd w:w="0" w:type="dxa"/>
        <w:tblLayout w:type="fixed"/>
        <w:tblLook w:val="04A0"/>
      </w:tblPr>
      <w:tblGrid>
        <w:gridCol w:w="1394"/>
        <w:gridCol w:w="1549"/>
        <w:gridCol w:w="1261"/>
        <w:gridCol w:w="1290"/>
        <w:gridCol w:w="2148"/>
        <w:gridCol w:w="2264"/>
        <w:gridCol w:w="2270"/>
        <w:gridCol w:w="2344"/>
        <w:gridCol w:w="1596"/>
      </w:tblGrid>
      <w:tr w:rsidR="00236B4B" w:rsidTr="00492080">
        <w:trPr>
          <w:trHeight w:val="969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名称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姓名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性别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民族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职务/职称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身份证号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办公电话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手机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备注</w:t>
            </w:r>
          </w:p>
        </w:tc>
      </w:tr>
      <w:tr w:rsidR="00236B4B" w:rsidTr="00492080">
        <w:trPr>
          <w:trHeight w:val="615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领队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236B4B" w:rsidTr="00492080">
        <w:trPr>
          <w:trHeight w:val="615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236B4B" w:rsidTr="00492080">
        <w:trPr>
          <w:trHeight w:val="615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236B4B" w:rsidTr="00492080">
        <w:trPr>
          <w:trHeight w:val="615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236B4B" w:rsidTr="00492080">
        <w:trPr>
          <w:trHeight w:val="625"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4B" w:rsidRDefault="00236B4B" w:rsidP="00492080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B4B" w:rsidRDefault="00236B4B" w:rsidP="00492080">
            <w:pPr>
              <w:rPr>
                <w:rFonts w:ascii="仿宋_GB2312" w:cs="仿宋_GB2312"/>
                <w:sz w:val="28"/>
                <w:szCs w:val="28"/>
              </w:rPr>
            </w:pPr>
          </w:p>
        </w:tc>
      </w:tr>
    </w:tbl>
    <w:p w:rsidR="00236B4B" w:rsidRDefault="00236B4B" w:rsidP="00236B4B">
      <w:pPr>
        <w:pStyle w:val="NormalNormal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lang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/>
        </w:rPr>
        <w:t>注：本表由各市畜牧兽医部门上报指定邮箱，同时报电子版。</w:t>
      </w:r>
    </w:p>
    <w:p w:rsidR="00403A27" w:rsidRDefault="00236B4B" w:rsidP="00236B4B">
      <w:r>
        <w:rPr>
          <w:rFonts w:ascii="仿宋_GB2312" w:cs="仿宋_GB2312"/>
          <w:sz w:val="28"/>
          <w:szCs w:val="28"/>
          <w:lang/>
        </w:rPr>
        <w:t xml:space="preserve"> </w:t>
      </w:r>
      <w:r>
        <w:rPr>
          <w:rFonts w:ascii="仿宋_GB2312" w:hAnsi="Calibri" w:cs="仿宋_GB2312" w:hint="eastAsia"/>
          <w:sz w:val="28"/>
          <w:szCs w:val="28"/>
          <w:lang/>
        </w:rPr>
        <w:t>填表人：</w:t>
      </w:r>
    </w:p>
    <w:sectPr w:rsidR="00403A27" w:rsidSect="00236B4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A8" w:rsidRDefault="001368C9">
    <w:pPr>
      <w:pStyle w:val="a3"/>
    </w:pPr>
    <w:bookmarkStart w:id="6" w:name="_GoBack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.6pt;margin-top:-12.9pt;width:37.4pt;height:20.8pt;z-index:251660288;mso-position-horizontal:outside;mso-position-horizontal-relative:margin" o:gfxdata="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m+YI1AAAAAYBAAAPAAAAAAAAAAEAIAAAACIAAABkcnMvZG93bnJldi54&#10;bWxQSwECFAAUAAAACACHTuJAbon7hzcCAABhBAAADgAAAAAAAAABACAAAAAjAQAAZHJzL2Uyb0Rv&#10;Yy54bWxQSwUGAAAAAAYABgBZAQAAzAUAAAAA&#10;" filled="f" stroked="f" strokeweight=".5pt">
          <v:textbox inset="0,0,0,0">
            <w:txbxContent>
              <w:p w:rsidR="001255A8" w:rsidRPr="001255A8" w:rsidRDefault="001368C9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 w:rsidRPr="001255A8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Pr="001255A8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1255A8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236B4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 w:rsidRPr="001255A8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bookmarkEnd w:id="6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36B4B"/>
    <w:rsid w:val="001368C9"/>
    <w:rsid w:val="00236B4B"/>
    <w:rsid w:val="0040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6B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36B4B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236B4B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236B4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列表段落a"/>
    <w:basedOn w:val="NormalNormal"/>
    <w:rsid w:val="00236B4B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2024-09-18T06:25:00Z</dcterms:created>
  <dcterms:modified xsi:type="dcterms:W3CDTF">2024-09-18T06:27:00Z</dcterms:modified>
</cp:coreProperties>
</file>