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2CA" w:rsidRPr="00C94852" w:rsidRDefault="004862CA" w:rsidP="004862CA">
      <w:pPr>
        <w:spacing w:line="600" w:lineRule="exact"/>
        <w:rPr>
          <w:rFonts w:ascii="黑体" w:eastAsia="黑体" w:hAnsi="黑体"/>
          <w:sz w:val="32"/>
          <w:szCs w:val="32"/>
        </w:rPr>
      </w:pPr>
      <w:r w:rsidRPr="00C94852">
        <w:rPr>
          <w:rFonts w:ascii="黑体" w:eastAsia="黑体" w:hAnsi="黑体" w:hint="eastAsia"/>
          <w:sz w:val="32"/>
          <w:szCs w:val="32"/>
        </w:rPr>
        <w:t>附件</w:t>
      </w:r>
    </w:p>
    <w:p w:rsidR="004862CA" w:rsidRPr="00C94852" w:rsidRDefault="004862CA" w:rsidP="004862CA">
      <w:pPr>
        <w:spacing w:line="600" w:lineRule="exact"/>
        <w:jc w:val="center"/>
        <w:rPr>
          <w:rFonts w:ascii="方正小标宋简体" w:eastAsia="方正小标宋简体" w:hAnsiTheme="minorEastAsia"/>
          <w:sz w:val="36"/>
          <w:szCs w:val="36"/>
        </w:rPr>
      </w:pPr>
      <w:r w:rsidRPr="00873B8A">
        <w:rPr>
          <w:rFonts w:ascii="方正小标宋简体" w:eastAsia="方正小标宋简体" w:hAnsiTheme="minorEastAsia" w:hint="eastAsia"/>
          <w:sz w:val="36"/>
          <w:szCs w:val="36"/>
        </w:rPr>
        <w:t>动物防疫条件审查场所确认选址评估办法</w:t>
      </w:r>
    </w:p>
    <w:p w:rsidR="004862CA" w:rsidRPr="00C94852" w:rsidRDefault="004862CA" w:rsidP="004862CA">
      <w:pPr>
        <w:spacing w:line="600" w:lineRule="exact"/>
        <w:jc w:val="center"/>
        <w:rPr>
          <w:rFonts w:ascii="楷体_GB2312" w:eastAsia="楷体_GB2312" w:hAnsiTheme="minorEastAsia"/>
          <w:b/>
          <w:sz w:val="32"/>
          <w:szCs w:val="32"/>
        </w:rPr>
      </w:pPr>
      <w:r w:rsidRPr="00C94852">
        <w:rPr>
          <w:rFonts w:ascii="楷体_GB2312" w:eastAsia="楷体_GB2312" w:hAnsiTheme="minorEastAsia" w:hint="eastAsia"/>
          <w:b/>
          <w:sz w:val="32"/>
          <w:szCs w:val="32"/>
        </w:rPr>
        <w:t>（试行）</w:t>
      </w:r>
    </w:p>
    <w:p w:rsidR="004862CA" w:rsidRPr="00C94852" w:rsidRDefault="004862CA" w:rsidP="004862CA">
      <w:pPr>
        <w:spacing w:line="600" w:lineRule="exact"/>
        <w:jc w:val="center"/>
        <w:rPr>
          <w:rFonts w:ascii="黑体" w:eastAsia="黑体" w:hAnsi="黑体"/>
          <w:sz w:val="32"/>
          <w:szCs w:val="32"/>
        </w:rPr>
      </w:pPr>
      <w:r w:rsidRPr="00C94852">
        <w:rPr>
          <w:rFonts w:ascii="黑体" w:eastAsia="黑体" w:hAnsi="黑体" w:hint="eastAsia"/>
          <w:sz w:val="32"/>
          <w:szCs w:val="32"/>
        </w:rPr>
        <w:t>第一章</w:t>
      </w:r>
      <w:r>
        <w:rPr>
          <w:rFonts w:ascii="黑体" w:eastAsia="黑体" w:hAnsi="黑体" w:hint="eastAsia"/>
          <w:sz w:val="32"/>
          <w:szCs w:val="32"/>
        </w:rPr>
        <w:t xml:space="preserve">  </w:t>
      </w:r>
      <w:r w:rsidRPr="00C94852">
        <w:rPr>
          <w:rFonts w:ascii="黑体" w:eastAsia="黑体" w:hAnsi="黑体" w:hint="eastAsia"/>
          <w:sz w:val="32"/>
          <w:szCs w:val="32"/>
        </w:rPr>
        <w:t>总则</w:t>
      </w:r>
    </w:p>
    <w:p w:rsidR="004862CA" w:rsidRDefault="004862CA" w:rsidP="004862CA">
      <w:pPr>
        <w:spacing w:line="600" w:lineRule="exact"/>
        <w:jc w:val="center"/>
        <w:rPr>
          <w:rFonts w:ascii="仿宋_GB2312" w:eastAsia="仿宋_GB2312" w:hAnsiTheme="minorEastAsia"/>
          <w:sz w:val="32"/>
          <w:szCs w:val="32"/>
        </w:rPr>
      </w:pP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第一条</w:t>
      </w:r>
      <w:r>
        <w:rPr>
          <w:rFonts w:ascii="仿宋_GB2312" w:eastAsia="仿宋_GB2312" w:hAnsiTheme="minorEastAsia" w:hint="eastAsia"/>
          <w:sz w:val="32"/>
          <w:szCs w:val="32"/>
        </w:rPr>
        <w:t xml:space="preserve">  </w:t>
      </w:r>
      <w:r w:rsidRPr="00FE1773">
        <w:rPr>
          <w:rFonts w:ascii="仿宋_GB2312" w:eastAsia="仿宋_GB2312" w:hAnsiTheme="minorEastAsia" w:hint="eastAsia"/>
          <w:sz w:val="32"/>
          <w:szCs w:val="32"/>
        </w:rPr>
        <w:t>为进一步优化动物防疫条件审查工作，促进生猪等畜禽养殖业健康发展，按照</w:t>
      </w:r>
      <w:r>
        <w:rPr>
          <w:rFonts w:ascii="仿宋_GB2312" w:eastAsia="仿宋_GB2312" w:hAnsiTheme="minorEastAsia" w:hint="eastAsia"/>
          <w:sz w:val="32"/>
          <w:szCs w:val="32"/>
        </w:rPr>
        <w:t>《农业农村部关于调整动物防疫条件审查有关规定的通知》（农牧发〔2019〕42号）要求，指定本办法。</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第二条</w:t>
      </w:r>
      <w:r>
        <w:rPr>
          <w:rFonts w:ascii="仿宋_GB2312" w:eastAsia="仿宋_GB2312" w:hAnsiTheme="minorEastAsia" w:hint="eastAsia"/>
          <w:sz w:val="32"/>
          <w:szCs w:val="32"/>
        </w:rPr>
        <w:t xml:space="preserve">  本办法适用于动物饲养场、养殖小区、动物隔离场、动物屠宰加工场所以及动物和动物产品无害化处理场所动物防条件审查选址。</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第三条</w:t>
      </w:r>
      <w:r>
        <w:rPr>
          <w:rFonts w:ascii="仿宋_GB2312" w:eastAsia="仿宋_GB2312" w:hAnsiTheme="minorEastAsia" w:hint="eastAsia"/>
          <w:sz w:val="32"/>
          <w:szCs w:val="32"/>
        </w:rPr>
        <w:t xml:space="preserve">  《动物防疫条件合格证》发证机关负责动物饲养场、养殖小区、动物隔离场、动物屠宰加工场所以及动物和动物产品无害化处理场所确认选址工作。</w:t>
      </w:r>
    </w:p>
    <w:p w:rsidR="004862CA" w:rsidRDefault="004862CA" w:rsidP="004862CA">
      <w:pPr>
        <w:spacing w:line="600" w:lineRule="exact"/>
        <w:jc w:val="center"/>
        <w:rPr>
          <w:rFonts w:ascii="黑体" w:eastAsia="黑体" w:hAnsi="黑体"/>
          <w:sz w:val="32"/>
          <w:szCs w:val="32"/>
        </w:rPr>
      </w:pPr>
    </w:p>
    <w:p w:rsidR="004862CA" w:rsidRDefault="004862CA" w:rsidP="004862CA">
      <w:pPr>
        <w:spacing w:line="600" w:lineRule="exact"/>
        <w:jc w:val="center"/>
        <w:rPr>
          <w:rFonts w:ascii="黑体" w:eastAsia="黑体" w:hAnsi="黑体"/>
          <w:sz w:val="32"/>
          <w:szCs w:val="32"/>
        </w:rPr>
      </w:pPr>
      <w:r w:rsidRPr="00C94852">
        <w:rPr>
          <w:rFonts w:ascii="黑体" w:eastAsia="黑体" w:hAnsi="黑体" w:hint="eastAsia"/>
          <w:sz w:val="32"/>
          <w:szCs w:val="32"/>
        </w:rPr>
        <w:t>第二章  评估方式</w:t>
      </w:r>
    </w:p>
    <w:p w:rsidR="004862CA" w:rsidRPr="00C94852" w:rsidRDefault="004862CA" w:rsidP="004862CA">
      <w:pPr>
        <w:spacing w:line="600" w:lineRule="exact"/>
        <w:jc w:val="center"/>
        <w:rPr>
          <w:rFonts w:ascii="黑体" w:eastAsia="黑体" w:hAnsi="黑体"/>
          <w:sz w:val="32"/>
          <w:szCs w:val="32"/>
        </w:rPr>
      </w:pP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第四条</w:t>
      </w:r>
      <w:r>
        <w:rPr>
          <w:rFonts w:ascii="仿宋_GB2312" w:eastAsia="仿宋_GB2312" w:hAnsiTheme="minorEastAsia" w:hint="eastAsia"/>
          <w:sz w:val="32"/>
          <w:szCs w:val="32"/>
        </w:rPr>
        <w:t xml:space="preserve">  对于符合《动物防疫条件审查办法》规定的选址距离的，无需组织确认选址评估。</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 xml:space="preserve"> 第五条</w:t>
      </w:r>
      <w:r>
        <w:rPr>
          <w:rFonts w:ascii="仿宋_GB2312" w:eastAsia="仿宋_GB2312" w:hAnsiTheme="minorEastAsia" w:hint="eastAsia"/>
          <w:sz w:val="32"/>
          <w:szCs w:val="32"/>
        </w:rPr>
        <w:t xml:space="preserve">  对于不符合《动物防疫条件审查办法》规定的选址距离的，《动物防疫条件合格证》发放机关应当组织3名或5名相关专业人员，对相应场所实施风险评估，根据风</w:t>
      </w:r>
      <w:r>
        <w:rPr>
          <w:rFonts w:ascii="仿宋_GB2312" w:eastAsia="仿宋_GB2312" w:hAnsiTheme="minorEastAsia" w:hint="eastAsia"/>
          <w:sz w:val="32"/>
          <w:szCs w:val="32"/>
        </w:rPr>
        <w:lastRenderedPageBreak/>
        <w:t>险评估结果确认选址。</w:t>
      </w:r>
    </w:p>
    <w:p w:rsidR="004862CA" w:rsidRDefault="004862CA" w:rsidP="004862CA">
      <w:pPr>
        <w:spacing w:line="600" w:lineRule="exact"/>
        <w:jc w:val="center"/>
        <w:rPr>
          <w:rFonts w:ascii="黑体" w:eastAsia="黑体" w:hAnsi="黑体"/>
          <w:sz w:val="32"/>
          <w:szCs w:val="32"/>
        </w:rPr>
      </w:pPr>
    </w:p>
    <w:p w:rsidR="004862CA" w:rsidRDefault="004862CA" w:rsidP="004862CA">
      <w:pPr>
        <w:spacing w:line="600" w:lineRule="exact"/>
        <w:jc w:val="center"/>
        <w:rPr>
          <w:rFonts w:ascii="黑体" w:eastAsia="黑体" w:hAnsi="黑体"/>
          <w:sz w:val="32"/>
          <w:szCs w:val="32"/>
        </w:rPr>
      </w:pPr>
      <w:r w:rsidRPr="00C94852">
        <w:rPr>
          <w:rFonts w:ascii="黑体" w:eastAsia="黑体" w:hAnsi="黑体" w:hint="eastAsia"/>
          <w:sz w:val="32"/>
          <w:szCs w:val="32"/>
        </w:rPr>
        <w:t>第三章  评估内容</w:t>
      </w:r>
    </w:p>
    <w:p w:rsidR="004862CA" w:rsidRPr="00C94852" w:rsidRDefault="004862CA" w:rsidP="004862CA">
      <w:pPr>
        <w:spacing w:line="600" w:lineRule="exact"/>
        <w:jc w:val="center"/>
        <w:rPr>
          <w:rFonts w:ascii="黑体" w:eastAsia="黑体" w:hAnsi="黑体"/>
          <w:sz w:val="32"/>
          <w:szCs w:val="32"/>
        </w:rPr>
      </w:pP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第六条</w:t>
      </w:r>
      <w:r>
        <w:rPr>
          <w:rFonts w:ascii="仿宋_GB2312" w:eastAsia="仿宋_GB2312" w:hAnsiTheme="minorEastAsia" w:hint="eastAsia"/>
          <w:sz w:val="32"/>
          <w:szCs w:val="32"/>
        </w:rPr>
        <w:t xml:space="preserve">  不符合《动物防疫条件审查办法》规定的选址距离的动物饲养场、养殖小区、动物隔离场，重点评估以下内容：</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（一）距离生活饮用水源地500米以上，或者具有防渗、防漏及粪污处理设施设备，能有效防止动物饲养场、养殖小区、动物隔离场污染饮用水；</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（二）在禁养区之外；</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三）周边有河流、湖泊、树林、山丘、大型沟壑等天然屏障或者树林、院墙（不具有隔离作用的栅栏、铁丝网等除外）等人工屏障，使其与其他动物饲养场（养殖小区）、动物诊疗机构、动物屠宰加工场所、动物和动物产品集贸市场、动物隔离场、无害化处理厂、城镇居民区、文化教育科研等人口集中区域以及公路、铁路等主要交通干线等实现物理隔离，防止病原微生物近距离传播；</w:t>
      </w:r>
    </w:p>
    <w:p w:rsidR="004862CA" w:rsidRPr="006F40DC"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（四）具有与其规模相适应的清洗消毒设施设备；</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（五）所在区域（乡、镇）近半年内未发生同类易感动物大规模传染性疫病。</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 xml:space="preserve"> 第七条</w:t>
      </w:r>
      <w:r>
        <w:rPr>
          <w:rFonts w:ascii="仿宋_GB2312" w:eastAsia="仿宋_GB2312" w:hAnsiTheme="minorEastAsia" w:hint="eastAsia"/>
          <w:sz w:val="32"/>
          <w:szCs w:val="32"/>
        </w:rPr>
        <w:t xml:space="preserve">  不符合《动物防疫条件审查办法》规定的选址距离的动物屠宰加工场所，重点评估以下内容：</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lastRenderedPageBreak/>
        <w:t xml:space="preserve">    （一）距离生活饮用水源地500米以上，或者具有防渗、防漏及污水污物处理设施设备，能有效防止动物屠宰加工场所污染饮用水；</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二）周边有河流、湖泊、树林、山丘、大型沟壑等天然屏障或者树林、院墙（不具有隔离作用的栅栏、铁丝网等除外）等人工屏障，使其与动物饲养场（养殖小区）、动物诊疗机构、动物和动物产品集贸市场、动物隔离场、无害化处理厂等实现物理隔离，防止病原微生物近距离传播；</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（三）具有与其规模相适应的清洗消毒设施设备。</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第八条</w:t>
      </w:r>
      <w:r>
        <w:rPr>
          <w:rFonts w:ascii="仿宋_GB2312" w:eastAsia="仿宋_GB2312" w:hAnsiTheme="minorEastAsia" w:hint="eastAsia"/>
          <w:sz w:val="32"/>
          <w:szCs w:val="32"/>
        </w:rPr>
        <w:t xml:space="preserve">  明显不符合《动物防疫条件审查办法》规定的选址距离的动物和动物产品无害化处理场所，重点评估以下内容：</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（一）距离生活饮用水源地500米以上，同时具有防渗、防漏及污水污物处理设施设备，能有效防止动物和动物产品无害化处理场所污染饮用水；</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二）周边有河流、湖泊、树林、山丘、大型沟壑等天然屏障或者树林、院墙（不具有隔离作用的栅栏、铁丝网等除外）等人工屏障，使其与动物饲养场（养殖小区）、动物诊疗机构、动物和动物产品集贸市场、动物隔离场、无害化处理厂等实现物理隔离，防止病原微生物近距离传播；</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（三）具有与其规模相适应的清洗消毒设施设备。</w:t>
      </w:r>
    </w:p>
    <w:p w:rsidR="004862CA" w:rsidRDefault="004862CA" w:rsidP="004862CA">
      <w:pPr>
        <w:spacing w:line="600" w:lineRule="exact"/>
        <w:rPr>
          <w:rFonts w:ascii="仿宋_GB2312" w:eastAsia="仿宋_GB2312" w:hAnsiTheme="minorEastAsia"/>
          <w:sz w:val="32"/>
          <w:szCs w:val="32"/>
        </w:rPr>
      </w:pPr>
    </w:p>
    <w:p w:rsidR="004862CA" w:rsidRPr="00C94852" w:rsidRDefault="004862CA" w:rsidP="004862CA">
      <w:pPr>
        <w:spacing w:line="600" w:lineRule="exact"/>
        <w:jc w:val="center"/>
        <w:rPr>
          <w:rFonts w:ascii="黑体" w:eastAsia="黑体" w:hAnsi="黑体"/>
          <w:sz w:val="32"/>
          <w:szCs w:val="32"/>
        </w:rPr>
      </w:pPr>
      <w:r w:rsidRPr="00C94852">
        <w:rPr>
          <w:rFonts w:ascii="黑体" w:eastAsia="黑体" w:hAnsi="黑体" w:hint="eastAsia"/>
          <w:sz w:val="32"/>
          <w:szCs w:val="32"/>
        </w:rPr>
        <w:t>第四章  结果确认</w:t>
      </w:r>
    </w:p>
    <w:p w:rsidR="004862CA" w:rsidRDefault="004862CA" w:rsidP="004862CA">
      <w:pPr>
        <w:spacing w:line="600" w:lineRule="exact"/>
        <w:rPr>
          <w:rFonts w:ascii="仿宋_GB2312" w:eastAsia="仿宋_GB2312" w:hAnsiTheme="minorEastAsia"/>
          <w:sz w:val="32"/>
          <w:szCs w:val="32"/>
        </w:rPr>
      </w:pP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第九条</w:t>
      </w:r>
      <w:r>
        <w:rPr>
          <w:rFonts w:ascii="仿宋_GB2312" w:eastAsia="仿宋_GB2312" w:hAnsiTheme="minorEastAsia" w:hint="eastAsia"/>
          <w:sz w:val="32"/>
          <w:szCs w:val="32"/>
        </w:rPr>
        <w:t xml:space="preserve">  经风险评估合格的予以确认选址；评估不合格的应当书面通知申请人并说明理由。</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第十条</w:t>
      </w:r>
      <w:r>
        <w:rPr>
          <w:rFonts w:ascii="仿宋_GB2312" w:eastAsia="仿宋_GB2312" w:hAnsiTheme="minorEastAsia" w:hint="eastAsia"/>
          <w:sz w:val="32"/>
          <w:szCs w:val="32"/>
        </w:rPr>
        <w:t xml:space="preserve">  动物饲养场、养殖小区、动物隔离场、动物屠宰加工场所以及动物和动物产品无害化处理场所通过选址评估后，经进一步审查，该场所同时符合《动物防疫条件审查办法》规定的布局、设施设备、人员、制度等其他要求的，按程序发放《动物防疫条件合格证》。</w:t>
      </w:r>
    </w:p>
    <w:p w:rsidR="004862CA" w:rsidRDefault="004862CA" w:rsidP="004862CA">
      <w:pPr>
        <w:spacing w:line="600" w:lineRule="exact"/>
        <w:rPr>
          <w:rFonts w:ascii="仿宋_GB2312" w:eastAsia="仿宋_GB2312" w:hAnsiTheme="minorEastAsia"/>
          <w:sz w:val="32"/>
          <w:szCs w:val="32"/>
        </w:rPr>
      </w:pPr>
    </w:p>
    <w:p w:rsidR="004862CA" w:rsidRPr="0024412C" w:rsidRDefault="004862CA" w:rsidP="004862CA">
      <w:pPr>
        <w:spacing w:line="600" w:lineRule="exact"/>
        <w:jc w:val="center"/>
        <w:rPr>
          <w:rFonts w:ascii="黑体" w:eastAsia="黑体" w:hAnsi="黑体"/>
          <w:sz w:val="32"/>
          <w:szCs w:val="32"/>
        </w:rPr>
      </w:pPr>
      <w:r w:rsidRPr="0024412C">
        <w:rPr>
          <w:rFonts w:ascii="黑体" w:eastAsia="黑体" w:hAnsi="黑体" w:hint="eastAsia"/>
          <w:sz w:val="32"/>
          <w:szCs w:val="32"/>
        </w:rPr>
        <w:t>第五章  监督管理</w:t>
      </w:r>
    </w:p>
    <w:p w:rsidR="004862CA" w:rsidRPr="0024412C" w:rsidRDefault="004862CA" w:rsidP="004862CA">
      <w:pPr>
        <w:spacing w:line="600" w:lineRule="exact"/>
        <w:jc w:val="center"/>
        <w:rPr>
          <w:rFonts w:ascii="黑体" w:eastAsia="黑体" w:hAnsi="黑体"/>
          <w:sz w:val="32"/>
          <w:szCs w:val="32"/>
        </w:rPr>
      </w:pP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 xml:space="preserve"> 第十一条</w:t>
      </w:r>
      <w:r>
        <w:rPr>
          <w:rFonts w:ascii="仿宋_GB2312" w:eastAsia="仿宋_GB2312" w:hAnsiTheme="minorEastAsia" w:hint="eastAsia"/>
          <w:sz w:val="32"/>
          <w:szCs w:val="32"/>
        </w:rPr>
        <w:t xml:space="preserve">  动物饲养场、养殖小区、动物隔离场、动物屠宰加工场所以及动物和动物产品无害化处理场所变更选址或经营范围的，应依据《动物防疫条件审查办法》的有关规定重新申请办理《动物防疫条件合格证》，发证机关受理后应当重新组织确认选址。</w:t>
      </w:r>
    </w:p>
    <w:p w:rsidR="004862CA" w:rsidRDefault="004862CA" w:rsidP="004862CA">
      <w:pPr>
        <w:spacing w:line="600" w:lineRule="exact"/>
        <w:rPr>
          <w:rFonts w:ascii="仿宋_GB2312" w:eastAsia="仿宋_GB2312" w:hAnsiTheme="minorEastAsia"/>
          <w:sz w:val="32"/>
          <w:szCs w:val="32"/>
        </w:rPr>
      </w:pPr>
      <w:r>
        <w:rPr>
          <w:rFonts w:ascii="仿宋_GB2312" w:eastAsia="仿宋_GB2312" w:hAnsiTheme="minorEastAsia" w:hint="eastAsia"/>
          <w:sz w:val="32"/>
          <w:szCs w:val="32"/>
        </w:rPr>
        <w:t xml:space="preserve">   </w:t>
      </w:r>
      <w:r w:rsidRPr="00C94852">
        <w:rPr>
          <w:rFonts w:ascii="黑体" w:eastAsia="黑体" w:hAnsi="黑体" w:hint="eastAsia"/>
          <w:sz w:val="32"/>
          <w:szCs w:val="32"/>
        </w:rPr>
        <w:t xml:space="preserve"> 第十二条</w:t>
      </w:r>
      <w:r>
        <w:rPr>
          <w:rFonts w:ascii="仿宋_GB2312" w:eastAsia="仿宋_GB2312" w:hAnsiTheme="minorEastAsia" w:hint="eastAsia"/>
          <w:sz w:val="32"/>
          <w:szCs w:val="32"/>
        </w:rPr>
        <w:t xml:space="preserve">  违反本办法第十一条规定，变更场所地址或经营范围，未按规定重新确认选址、重新申请办理《动物防疫条件合格证》的，按照《中华人民共和国动物防疫条例》第七十七条有关规定予以处罚。</w:t>
      </w:r>
    </w:p>
    <w:p w:rsidR="004862CA" w:rsidRDefault="004862CA" w:rsidP="004862CA">
      <w:pPr>
        <w:spacing w:line="600" w:lineRule="exact"/>
        <w:jc w:val="left"/>
        <w:rPr>
          <w:rFonts w:ascii="仿宋_GB2312" w:eastAsia="仿宋_GB2312" w:hAnsiTheme="minorEastAsia"/>
          <w:sz w:val="32"/>
          <w:szCs w:val="32"/>
        </w:rPr>
      </w:pPr>
      <w:r>
        <w:rPr>
          <w:rFonts w:ascii="黑体" w:eastAsia="黑体" w:hAnsi="黑体" w:hint="eastAsia"/>
          <w:sz w:val="32"/>
          <w:szCs w:val="32"/>
        </w:rPr>
        <w:t xml:space="preserve">    </w:t>
      </w:r>
      <w:r w:rsidRPr="00FB5E2A">
        <w:rPr>
          <w:rFonts w:ascii="黑体" w:eastAsia="黑体" w:hAnsi="黑体" w:hint="eastAsia"/>
          <w:sz w:val="32"/>
          <w:szCs w:val="32"/>
        </w:rPr>
        <w:t>第十三条</w:t>
      </w:r>
      <w:r>
        <w:rPr>
          <w:rFonts w:ascii="仿宋_GB2312" w:eastAsia="仿宋_GB2312" w:hAnsiTheme="minorEastAsia" w:hint="eastAsia"/>
          <w:sz w:val="32"/>
          <w:szCs w:val="32"/>
        </w:rPr>
        <w:t xml:space="preserve">  本办法所称动物饲养场、养殖小区指《中华人民共和国畜牧》第三十九条规定的畜禽养殖场、养殖小区。</w:t>
      </w:r>
    </w:p>
    <w:p w:rsidR="004862CA" w:rsidRDefault="004862CA" w:rsidP="004862CA">
      <w:pPr>
        <w:spacing w:line="600" w:lineRule="exact"/>
        <w:jc w:val="left"/>
        <w:rPr>
          <w:rFonts w:ascii="仿宋_GB2312" w:eastAsia="仿宋_GB2312" w:hAnsiTheme="minorEastAsia"/>
          <w:sz w:val="32"/>
          <w:szCs w:val="32"/>
        </w:rPr>
      </w:pPr>
    </w:p>
    <w:p w:rsidR="004862CA" w:rsidRPr="0050546F" w:rsidRDefault="004862CA" w:rsidP="004862CA">
      <w:pPr>
        <w:spacing w:line="600" w:lineRule="exact"/>
        <w:rPr>
          <w:rFonts w:ascii="黑体" w:eastAsia="黑体" w:hAnsi="黑体"/>
          <w:sz w:val="32"/>
          <w:szCs w:val="32"/>
        </w:rPr>
      </w:pPr>
      <w:r w:rsidRPr="0050546F">
        <w:rPr>
          <w:rFonts w:ascii="黑体" w:eastAsia="黑体" w:hAnsi="黑体" w:hint="eastAsia"/>
          <w:sz w:val="32"/>
          <w:szCs w:val="32"/>
        </w:rPr>
        <w:lastRenderedPageBreak/>
        <w:t>附表</w:t>
      </w:r>
      <w:r>
        <w:rPr>
          <w:rFonts w:ascii="黑体" w:eastAsia="黑体" w:hAnsi="黑体" w:hint="eastAsia"/>
          <w:sz w:val="32"/>
          <w:szCs w:val="32"/>
        </w:rPr>
        <w:t>1</w:t>
      </w:r>
    </w:p>
    <w:p w:rsidR="004862CA" w:rsidRDefault="004862CA" w:rsidP="004862CA">
      <w:pPr>
        <w:jc w:val="center"/>
        <w:rPr>
          <w:rFonts w:ascii="方正小标宋简体" w:eastAsia="方正小标宋简体" w:hAnsiTheme="minorEastAsia"/>
          <w:sz w:val="36"/>
          <w:szCs w:val="36"/>
        </w:rPr>
      </w:pPr>
      <w:r>
        <w:rPr>
          <w:rFonts w:ascii="方正小标宋简体" w:eastAsia="方正小标宋简体" w:hAnsiTheme="minorEastAsia" w:hint="eastAsia"/>
          <w:sz w:val="36"/>
          <w:szCs w:val="36"/>
        </w:rPr>
        <w:t>动物饲养场、养殖小区、动物隔离场确认选址</w:t>
      </w:r>
    </w:p>
    <w:p w:rsidR="004862CA" w:rsidRPr="0050546F" w:rsidRDefault="004862CA" w:rsidP="004862CA">
      <w:pPr>
        <w:jc w:val="center"/>
        <w:rPr>
          <w:rFonts w:ascii="方正小标宋简体" w:eastAsia="方正小标宋简体" w:hAnsiTheme="minorEastAsia"/>
          <w:sz w:val="36"/>
          <w:szCs w:val="36"/>
        </w:rPr>
      </w:pPr>
      <w:r w:rsidRPr="0050546F">
        <w:rPr>
          <w:rFonts w:ascii="方正小标宋简体" w:eastAsia="方正小标宋简体" w:hAnsiTheme="minorEastAsia" w:hint="eastAsia"/>
          <w:sz w:val="36"/>
          <w:szCs w:val="36"/>
        </w:rPr>
        <w:t>风险评估表</w:t>
      </w:r>
    </w:p>
    <w:tbl>
      <w:tblPr>
        <w:tblStyle w:val="a4"/>
        <w:tblW w:w="9924" w:type="dxa"/>
        <w:tblInd w:w="-459" w:type="dxa"/>
        <w:tblLook w:val="04A0"/>
      </w:tblPr>
      <w:tblGrid>
        <w:gridCol w:w="851"/>
        <w:gridCol w:w="5671"/>
        <w:gridCol w:w="850"/>
        <w:gridCol w:w="847"/>
        <w:gridCol w:w="1705"/>
      </w:tblGrid>
      <w:tr w:rsidR="004862CA" w:rsidRPr="0050546F" w:rsidTr="00471B78">
        <w:trPr>
          <w:trHeight w:val="426"/>
        </w:trPr>
        <w:tc>
          <w:tcPr>
            <w:tcW w:w="851" w:type="dxa"/>
            <w:vMerge w:val="restart"/>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序号</w:t>
            </w:r>
          </w:p>
        </w:tc>
        <w:tc>
          <w:tcPr>
            <w:tcW w:w="5671" w:type="dxa"/>
            <w:vMerge w:val="restart"/>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内容</w:t>
            </w:r>
          </w:p>
        </w:tc>
        <w:tc>
          <w:tcPr>
            <w:tcW w:w="1697" w:type="dxa"/>
            <w:gridSpan w:val="2"/>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评估结果</w:t>
            </w:r>
          </w:p>
        </w:tc>
        <w:tc>
          <w:tcPr>
            <w:tcW w:w="1705" w:type="dxa"/>
            <w:vMerge w:val="restart"/>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评估说明</w:t>
            </w:r>
          </w:p>
        </w:tc>
      </w:tr>
      <w:tr w:rsidR="004862CA" w:rsidRPr="0050546F" w:rsidTr="00471B78">
        <w:trPr>
          <w:trHeight w:val="364"/>
        </w:trPr>
        <w:tc>
          <w:tcPr>
            <w:tcW w:w="851" w:type="dxa"/>
            <w:vMerge/>
            <w:vAlign w:val="center"/>
          </w:tcPr>
          <w:p w:rsidR="004862CA" w:rsidRPr="0050546F" w:rsidRDefault="004862CA" w:rsidP="00471B78">
            <w:pPr>
              <w:jc w:val="center"/>
              <w:rPr>
                <w:rFonts w:ascii="仿宋_GB2312" w:eastAsia="仿宋_GB2312" w:hAnsiTheme="minorEastAsia"/>
                <w:sz w:val="30"/>
                <w:szCs w:val="30"/>
              </w:rPr>
            </w:pPr>
          </w:p>
        </w:tc>
        <w:tc>
          <w:tcPr>
            <w:tcW w:w="5671" w:type="dxa"/>
            <w:vMerge/>
            <w:vAlign w:val="center"/>
          </w:tcPr>
          <w:p w:rsidR="004862CA" w:rsidRPr="0050546F" w:rsidRDefault="004862CA" w:rsidP="00471B78">
            <w:pPr>
              <w:jc w:val="center"/>
              <w:rPr>
                <w:rFonts w:ascii="仿宋_GB2312" w:eastAsia="仿宋_GB2312" w:hAnsiTheme="minorEastAsia"/>
                <w:sz w:val="30"/>
                <w:szCs w:val="30"/>
              </w:rPr>
            </w:pPr>
          </w:p>
        </w:tc>
        <w:tc>
          <w:tcPr>
            <w:tcW w:w="850" w:type="dxa"/>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是</w:t>
            </w:r>
          </w:p>
        </w:tc>
        <w:tc>
          <w:tcPr>
            <w:tcW w:w="847" w:type="dxa"/>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否</w:t>
            </w:r>
          </w:p>
        </w:tc>
        <w:tc>
          <w:tcPr>
            <w:tcW w:w="1705" w:type="dxa"/>
            <w:vMerge/>
            <w:vAlign w:val="center"/>
          </w:tcPr>
          <w:p w:rsidR="004862CA" w:rsidRPr="0050546F" w:rsidRDefault="004862CA" w:rsidP="00471B78">
            <w:pPr>
              <w:jc w:val="center"/>
              <w:rPr>
                <w:rFonts w:ascii="仿宋_GB2312" w:eastAsia="仿宋_GB2312" w:hAnsiTheme="minorEastAsia"/>
                <w:sz w:val="30"/>
                <w:szCs w:val="30"/>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sidRPr="0050546F">
              <w:rPr>
                <w:rFonts w:ascii="仿宋_GB2312" w:eastAsia="仿宋_GB2312" w:hAnsiTheme="minorEastAsia" w:hint="eastAsia"/>
                <w:szCs w:val="21"/>
              </w:rPr>
              <w:t>1</w:t>
            </w:r>
          </w:p>
        </w:tc>
        <w:tc>
          <w:tcPr>
            <w:tcW w:w="5671" w:type="dxa"/>
            <w:vAlign w:val="center"/>
          </w:tcPr>
          <w:p w:rsidR="004862CA" w:rsidRPr="0050546F" w:rsidRDefault="004862CA" w:rsidP="00471B78">
            <w:pPr>
              <w:rPr>
                <w:rFonts w:ascii="仿宋_GB2312" w:eastAsia="仿宋_GB2312" w:hAnsiTheme="minorEastAsia"/>
                <w:szCs w:val="21"/>
              </w:rPr>
            </w:pPr>
            <w:r w:rsidRPr="00881EB0">
              <w:rPr>
                <w:rFonts w:ascii="仿宋_GB2312" w:eastAsia="仿宋_GB2312" w:hAnsiTheme="minorEastAsia" w:hint="eastAsia"/>
                <w:szCs w:val="21"/>
              </w:rPr>
              <w:t>距离生活饮用水源地500米以上</w:t>
            </w:r>
          </w:p>
        </w:tc>
        <w:tc>
          <w:tcPr>
            <w:tcW w:w="850" w:type="dxa"/>
            <w:vAlign w:val="center"/>
          </w:tcPr>
          <w:p w:rsidR="004862CA" w:rsidRDefault="004862CA" w:rsidP="00471B78">
            <w:pPr>
              <w:jc w:val="center"/>
              <w:rPr>
                <w:rFonts w:ascii="仿宋_GB2312" w:eastAsia="仿宋_GB2312" w:hAnsiTheme="minorEastAsia"/>
                <w:sz w:val="32"/>
                <w:szCs w:val="32"/>
              </w:rPr>
            </w:pPr>
          </w:p>
        </w:tc>
        <w:tc>
          <w:tcPr>
            <w:tcW w:w="847" w:type="dxa"/>
            <w:vAlign w:val="center"/>
          </w:tcPr>
          <w:p w:rsidR="004862CA" w:rsidRDefault="004862CA" w:rsidP="00471B78">
            <w:pPr>
              <w:jc w:val="center"/>
              <w:rPr>
                <w:rFonts w:ascii="仿宋_GB2312" w:eastAsia="仿宋_GB2312" w:hAnsiTheme="minorEastAsia"/>
                <w:sz w:val="32"/>
                <w:szCs w:val="32"/>
              </w:rPr>
            </w:pPr>
          </w:p>
        </w:tc>
        <w:tc>
          <w:tcPr>
            <w:tcW w:w="1705" w:type="dxa"/>
            <w:vAlign w:val="center"/>
          </w:tcPr>
          <w:p w:rsidR="004862CA" w:rsidRDefault="004862CA" w:rsidP="00471B78">
            <w:pPr>
              <w:jc w:val="cente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2</w:t>
            </w:r>
          </w:p>
        </w:tc>
        <w:tc>
          <w:tcPr>
            <w:tcW w:w="5671" w:type="dxa"/>
            <w:vAlign w:val="center"/>
          </w:tcPr>
          <w:p w:rsidR="004862CA" w:rsidRPr="0050546F" w:rsidRDefault="004862CA" w:rsidP="00471B78">
            <w:pPr>
              <w:rPr>
                <w:rFonts w:ascii="仿宋_GB2312" w:eastAsia="仿宋_GB2312" w:hAnsiTheme="minorEastAsia"/>
                <w:szCs w:val="21"/>
              </w:rPr>
            </w:pPr>
            <w:r w:rsidRPr="00881EB0">
              <w:rPr>
                <w:rFonts w:ascii="仿宋_GB2312" w:eastAsia="仿宋_GB2312" w:hAnsiTheme="minorEastAsia" w:hint="eastAsia"/>
                <w:szCs w:val="21"/>
              </w:rPr>
              <w:t>具有防渗、防漏及污水污物处理设施设备，能有效防止</w:t>
            </w:r>
            <w:r>
              <w:rPr>
                <w:rFonts w:ascii="仿宋_GB2312" w:eastAsia="仿宋_GB2312" w:hAnsiTheme="minorEastAsia" w:hint="eastAsia"/>
                <w:szCs w:val="21"/>
              </w:rPr>
              <w:t>动物饲养场、养殖小区、动物隔离场</w:t>
            </w:r>
            <w:r w:rsidRPr="00881EB0">
              <w:rPr>
                <w:rFonts w:ascii="仿宋_GB2312" w:eastAsia="仿宋_GB2312" w:hAnsiTheme="minorEastAsia" w:hint="eastAsia"/>
                <w:szCs w:val="21"/>
              </w:rPr>
              <w:t>污染饮用水</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3</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必须在禁养区之外</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3</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周边有河流、湖泊、树林、山丘、大型沟壑等天然屏障</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4</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周边有树林、院墙（不具有隔离作用的栅栏、铁丝网等除外）等人工屏障</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5</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自然屏障或人工屏障能使其与动物饲养场（养殖小区）、动物诊疗机构、动物屠宰加工场所、动物和动物产品集贸市场、动物隔离场、无害化处理厂、城镇居民区、文化教育科研等人口集中区域以及公路、铁路等主要交通干线等实现物理隔离，</w:t>
            </w:r>
            <w:r w:rsidRPr="00133772">
              <w:rPr>
                <w:rFonts w:ascii="仿宋_GB2312" w:eastAsia="仿宋_GB2312" w:hAnsiTheme="minorEastAsia" w:hint="eastAsia"/>
                <w:szCs w:val="21"/>
              </w:rPr>
              <w:t>防止病原微生物近距离传播</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6</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动物饲养场、养殖小区、动物隔离场所在乡（镇）近</w:t>
            </w:r>
            <w:r>
              <w:rPr>
                <w:rFonts w:ascii="仿宋_GB2312" w:eastAsia="仿宋_GB2312" w:hAnsiTheme="minorEastAsia" w:hint="eastAsia"/>
                <w:szCs w:val="21"/>
              </w:rPr>
              <w:t>半年</w:t>
            </w:r>
            <w:r w:rsidRPr="0050546F">
              <w:rPr>
                <w:rFonts w:ascii="仿宋_GB2312" w:eastAsia="仿宋_GB2312" w:hAnsiTheme="minorEastAsia" w:hint="eastAsia"/>
                <w:szCs w:val="21"/>
              </w:rPr>
              <w:t>内未发生同类易感动物大规模传染性疫病</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7</w:t>
            </w:r>
          </w:p>
        </w:tc>
        <w:tc>
          <w:tcPr>
            <w:tcW w:w="5671" w:type="dxa"/>
            <w:vAlign w:val="center"/>
          </w:tcPr>
          <w:p w:rsidR="004862CA" w:rsidRPr="0050546F" w:rsidRDefault="004862CA" w:rsidP="00471B78">
            <w:pPr>
              <w:rPr>
                <w:rFonts w:ascii="仿宋_GB2312" w:eastAsia="仿宋_GB2312" w:hAnsiTheme="minorEastAsia"/>
                <w:szCs w:val="21"/>
              </w:rPr>
            </w:pPr>
            <w:r>
              <w:rPr>
                <w:rFonts w:ascii="仿宋_GB2312" w:eastAsia="仿宋_GB2312" w:hAnsiTheme="minorEastAsia" w:hint="eastAsia"/>
                <w:szCs w:val="21"/>
              </w:rPr>
              <w:t>具有与其规模相适应的清洗消毒设施设备</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bl>
    <w:p w:rsidR="004862CA" w:rsidRDefault="004862CA" w:rsidP="004862CA">
      <w:pPr>
        <w:rPr>
          <w:rFonts w:ascii="仿宋_GB2312" w:eastAsia="仿宋_GB2312" w:hAnsiTheme="minorEastAsia"/>
          <w:szCs w:val="21"/>
        </w:rPr>
      </w:pPr>
      <w:r w:rsidRPr="00753157">
        <w:rPr>
          <w:rFonts w:ascii="仿宋_GB2312" w:eastAsia="仿宋_GB2312" w:hAnsiTheme="minorEastAsia" w:hint="eastAsia"/>
          <w:szCs w:val="21"/>
        </w:rPr>
        <w:t>注：</w:t>
      </w:r>
      <w:r>
        <w:rPr>
          <w:rFonts w:ascii="仿宋_GB2312" w:eastAsia="仿宋_GB2312" w:hAnsiTheme="minorEastAsia" w:hint="eastAsia"/>
          <w:szCs w:val="21"/>
        </w:rPr>
        <w:t>1.第一项和第二项只要符合一项即可。</w:t>
      </w:r>
    </w:p>
    <w:p w:rsidR="004862CA" w:rsidRDefault="004862CA" w:rsidP="004862CA">
      <w:pPr>
        <w:rPr>
          <w:rFonts w:ascii="仿宋_GB2312" w:eastAsia="仿宋_GB2312" w:hAnsiTheme="minorEastAsia"/>
          <w:szCs w:val="21"/>
        </w:rPr>
      </w:pPr>
      <w:r>
        <w:rPr>
          <w:rFonts w:ascii="仿宋_GB2312" w:eastAsia="仿宋_GB2312" w:hAnsiTheme="minorEastAsia" w:hint="eastAsia"/>
          <w:szCs w:val="21"/>
        </w:rPr>
        <w:t xml:space="preserve">    2. </w:t>
      </w:r>
      <w:r w:rsidRPr="00753157">
        <w:rPr>
          <w:rFonts w:ascii="仿宋_GB2312" w:eastAsia="仿宋_GB2312" w:hAnsiTheme="minorEastAsia" w:hint="eastAsia"/>
          <w:szCs w:val="21"/>
        </w:rPr>
        <w:t>自然屏障和人工屏障至少评估一项，两项都具备的可同时评估。</w:t>
      </w:r>
    </w:p>
    <w:p w:rsidR="004862CA" w:rsidRDefault="004862CA" w:rsidP="004862CA">
      <w:pPr>
        <w:rPr>
          <w:rFonts w:ascii="仿宋_GB2312" w:eastAsia="仿宋_GB2312" w:hAnsiTheme="minorEastAsia"/>
          <w:szCs w:val="21"/>
        </w:rPr>
      </w:pPr>
      <w:r>
        <w:rPr>
          <w:rFonts w:ascii="仿宋_GB2312" w:eastAsia="仿宋_GB2312" w:hAnsiTheme="minorEastAsia" w:hint="eastAsia"/>
          <w:szCs w:val="21"/>
        </w:rPr>
        <w:t xml:space="preserve">    3.审核结果为“否”的，应在“审核说明”中填写具体审核情况，审核结果为“是”的，无需填写。</w:t>
      </w:r>
    </w:p>
    <w:p w:rsidR="004862CA" w:rsidRDefault="004862CA" w:rsidP="004862CA">
      <w:pPr>
        <w:rPr>
          <w:rFonts w:ascii="仿宋_GB2312" w:eastAsia="仿宋_GB2312" w:hAnsiTheme="minorEastAsia"/>
          <w:szCs w:val="21"/>
        </w:rPr>
      </w:pPr>
    </w:p>
    <w:p w:rsidR="004862CA" w:rsidRPr="00397A8A" w:rsidRDefault="004862CA" w:rsidP="004862CA">
      <w:pPr>
        <w:spacing w:line="600" w:lineRule="exact"/>
        <w:rPr>
          <w:rFonts w:ascii="黑体" w:eastAsia="黑体" w:hAnsi="黑体"/>
          <w:sz w:val="32"/>
          <w:szCs w:val="32"/>
        </w:rPr>
      </w:pPr>
    </w:p>
    <w:p w:rsidR="004862CA" w:rsidRDefault="004862CA" w:rsidP="004862CA">
      <w:pPr>
        <w:spacing w:line="600" w:lineRule="exact"/>
        <w:rPr>
          <w:rFonts w:ascii="黑体" w:eastAsia="黑体" w:hAnsi="黑体"/>
          <w:sz w:val="32"/>
          <w:szCs w:val="32"/>
        </w:rPr>
      </w:pPr>
    </w:p>
    <w:p w:rsidR="004862CA" w:rsidRDefault="004862CA" w:rsidP="004862CA">
      <w:pPr>
        <w:spacing w:line="600" w:lineRule="exact"/>
        <w:rPr>
          <w:rFonts w:ascii="黑体" w:eastAsia="黑体" w:hAnsi="黑体"/>
          <w:sz w:val="32"/>
          <w:szCs w:val="32"/>
        </w:rPr>
      </w:pPr>
    </w:p>
    <w:p w:rsidR="004862CA" w:rsidRDefault="004862CA" w:rsidP="004862CA">
      <w:pPr>
        <w:spacing w:line="600" w:lineRule="exact"/>
        <w:rPr>
          <w:rFonts w:ascii="黑体" w:eastAsia="黑体" w:hAnsi="黑体"/>
          <w:sz w:val="32"/>
          <w:szCs w:val="32"/>
        </w:rPr>
      </w:pPr>
    </w:p>
    <w:p w:rsidR="004862CA" w:rsidRDefault="004862CA" w:rsidP="004862CA">
      <w:pPr>
        <w:spacing w:line="600" w:lineRule="exact"/>
        <w:rPr>
          <w:rFonts w:ascii="黑体" w:eastAsia="黑体" w:hAnsi="黑体"/>
          <w:sz w:val="32"/>
          <w:szCs w:val="32"/>
        </w:rPr>
      </w:pPr>
    </w:p>
    <w:p w:rsidR="004862CA" w:rsidRPr="0050546F" w:rsidRDefault="004862CA" w:rsidP="004862CA">
      <w:pPr>
        <w:spacing w:line="600" w:lineRule="exact"/>
        <w:rPr>
          <w:rFonts w:ascii="黑体" w:eastAsia="黑体" w:hAnsi="黑体"/>
          <w:sz w:val="32"/>
          <w:szCs w:val="32"/>
        </w:rPr>
      </w:pPr>
      <w:r w:rsidRPr="0050546F">
        <w:rPr>
          <w:rFonts w:ascii="黑体" w:eastAsia="黑体" w:hAnsi="黑体" w:hint="eastAsia"/>
          <w:sz w:val="32"/>
          <w:szCs w:val="32"/>
        </w:rPr>
        <w:lastRenderedPageBreak/>
        <w:t>附表</w:t>
      </w:r>
      <w:r>
        <w:rPr>
          <w:rFonts w:ascii="黑体" w:eastAsia="黑体" w:hAnsi="黑体" w:hint="eastAsia"/>
          <w:sz w:val="32"/>
          <w:szCs w:val="32"/>
        </w:rPr>
        <w:t>2</w:t>
      </w:r>
    </w:p>
    <w:p w:rsidR="004862CA" w:rsidRDefault="004862CA" w:rsidP="004862CA">
      <w:pPr>
        <w:jc w:val="center"/>
        <w:rPr>
          <w:rFonts w:ascii="方正小标宋简体" w:eastAsia="方正小标宋简体" w:hAnsiTheme="minorEastAsia"/>
          <w:sz w:val="36"/>
          <w:szCs w:val="36"/>
        </w:rPr>
      </w:pPr>
      <w:r w:rsidRPr="006C2A4B">
        <w:rPr>
          <w:rFonts w:ascii="方正小标宋简体" w:eastAsia="方正小标宋简体" w:hAnsiTheme="minorEastAsia" w:hint="eastAsia"/>
          <w:sz w:val="36"/>
          <w:szCs w:val="36"/>
        </w:rPr>
        <w:t>动物屠宰加工场所</w:t>
      </w:r>
      <w:r>
        <w:rPr>
          <w:rFonts w:ascii="方正小标宋简体" w:eastAsia="方正小标宋简体" w:hAnsiTheme="minorEastAsia" w:hint="eastAsia"/>
          <w:sz w:val="36"/>
          <w:szCs w:val="36"/>
        </w:rPr>
        <w:t>选确认选址</w:t>
      </w:r>
    </w:p>
    <w:p w:rsidR="004862CA" w:rsidRPr="0050546F" w:rsidRDefault="004862CA" w:rsidP="004862CA">
      <w:pPr>
        <w:jc w:val="center"/>
        <w:rPr>
          <w:rFonts w:ascii="方正小标宋简体" w:eastAsia="方正小标宋简体" w:hAnsiTheme="minorEastAsia"/>
          <w:sz w:val="36"/>
          <w:szCs w:val="36"/>
        </w:rPr>
      </w:pPr>
      <w:r w:rsidRPr="0050546F">
        <w:rPr>
          <w:rFonts w:ascii="方正小标宋简体" w:eastAsia="方正小标宋简体" w:hAnsiTheme="minorEastAsia" w:hint="eastAsia"/>
          <w:sz w:val="36"/>
          <w:szCs w:val="36"/>
        </w:rPr>
        <w:t>风险评估表</w:t>
      </w:r>
    </w:p>
    <w:tbl>
      <w:tblPr>
        <w:tblStyle w:val="a4"/>
        <w:tblW w:w="9924" w:type="dxa"/>
        <w:tblInd w:w="-459" w:type="dxa"/>
        <w:tblLook w:val="04A0"/>
      </w:tblPr>
      <w:tblGrid>
        <w:gridCol w:w="851"/>
        <w:gridCol w:w="5671"/>
        <w:gridCol w:w="850"/>
        <w:gridCol w:w="847"/>
        <w:gridCol w:w="1705"/>
      </w:tblGrid>
      <w:tr w:rsidR="004862CA" w:rsidRPr="0050546F" w:rsidTr="00471B78">
        <w:trPr>
          <w:trHeight w:val="426"/>
        </w:trPr>
        <w:tc>
          <w:tcPr>
            <w:tcW w:w="851" w:type="dxa"/>
            <w:vMerge w:val="restart"/>
            <w:vAlign w:val="center"/>
          </w:tcPr>
          <w:p w:rsidR="004862CA" w:rsidRPr="0050546F" w:rsidRDefault="004862CA" w:rsidP="00471B78">
            <w:pPr>
              <w:ind w:leftChars="-20" w:left="-42" w:firstLineChars="14" w:firstLine="42"/>
              <w:jc w:val="center"/>
              <w:rPr>
                <w:rFonts w:ascii="黑体" w:eastAsia="黑体" w:hAnsi="黑体"/>
                <w:sz w:val="30"/>
                <w:szCs w:val="30"/>
              </w:rPr>
            </w:pPr>
            <w:r w:rsidRPr="0050546F">
              <w:rPr>
                <w:rFonts w:ascii="黑体" w:eastAsia="黑体" w:hAnsi="黑体" w:hint="eastAsia"/>
                <w:sz w:val="30"/>
                <w:szCs w:val="30"/>
              </w:rPr>
              <w:t>序号</w:t>
            </w:r>
          </w:p>
        </w:tc>
        <w:tc>
          <w:tcPr>
            <w:tcW w:w="5671" w:type="dxa"/>
            <w:vMerge w:val="restart"/>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内容</w:t>
            </w:r>
          </w:p>
        </w:tc>
        <w:tc>
          <w:tcPr>
            <w:tcW w:w="1697" w:type="dxa"/>
            <w:gridSpan w:val="2"/>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评估结果</w:t>
            </w:r>
          </w:p>
        </w:tc>
        <w:tc>
          <w:tcPr>
            <w:tcW w:w="1705" w:type="dxa"/>
            <w:vMerge w:val="restart"/>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评估说明</w:t>
            </w:r>
          </w:p>
        </w:tc>
      </w:tr>
      <w:tr w:rsidR="004862CA" w:rsidRPr="0050546F" w:rsidTr="00471B78">
        <w:trPr>
          <w:trHeight w:val="364"/>
        </w:trPr>
        <w:tc>
          <w:tcPr>
            <w:tcW w:w="851" w:type="dxa"/>
            <w:vMerge/>
            <w:vAlign w:val="center"/>
          </w:tcPr>
          <w:p w:rsidR="004862CA" w:rsidRPr="0050546F" w:rsidRDefault="004862CA" w:rsidP="00471B78">
            <w:pPr>
              <w:jc w:val="center"/>
              <w:rPr>
                <w:rFonts w:ascii="仿宋_GB2312" w:eastAsia="仿宋_GB2312" w:hAnsiTheme="minorEastAsia"/>
                <w:sz w:val="30"/>
                <w:szCs w:val="30"/>
              </w:rPr>
            </w:pPr>
          </w:p>
        </w:tc>
        <w:tc>
          <w:tcPr>
            <w:tcW w:w="5671" w:type="dxa"/>
            <w:vMerge/>
            <w:vAlign w:val="center"/>
          </w:tcPr>
          <w:p w:rsidR="004862CA" w:rsidRPr="0050546F" w:rsidRDefault="004862CA" w:rsidP="00471B78">
            <w:pPr>
              <w:jc w:val="center"/>
              <w:rPr>
                <w:rFonts w:ascii="仿宋_GB2312" w:eastAsia="仿宋_GB2312" w:hAnsiTheme="minorEastAsia"/>
                <w:sz w:val="30"/>
                <w:szCs w:val="30"/>
              </w:rPr>
            </w:pPr>
          </w:p>
        </w:tc>
        <w:tc>
          <w:tcPr>
            <w:tcW w:w="850" w:type="dxa"/>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是</w:t>
            </w:r>
          </w:p>
        </w:tc>
        <w:tc>
          <w:tcPr>
            <w:tcW w:w="847" w:type="dxa"/>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否</w:t>
            </w:r>
          </w:p>
        </w:tc>
        <w:tc>
          <w:tcPr>
            <w:tcW w:w="1705" w:type="dxa"/>
            <w:vMerge/>
            <w:vAlign w:val="center"/>
          </w:tcPr>
          <w:p w:rsidR="004862CA" w:rsidRPr="0050546F" w:rsidRDefault="004862CA" w:rsidP="00471B78">
            <w:pPr>
              <w:jc w:val="center"/>
              <w:rPr>
                <w:rFonts w:ascii="仿宋_GB2312" w:eastAsia="仿宋_GB2312" w:hAnsiTheme="minorEastAsia"/>
                <w:sz w:val="30"/>
                <w:szCs w:val="30"/>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sidRPr="0050546F">
              <w:rPr>
                <w:rFonts w:ascii="仿宋_GB2312" w:eastAsia="仿宋_GB2312" w:hAnsiTheme="minorEastAsia" w:hint="eastAsia"/>
                <w:szCs w:val="21"/>
              </w:rPr>
              <w:t>1</w:t>
            </w:r>
          </w:p>
        </w:tc>
        <w:tc>
          <w:tcPr>
            <w:tcW w:w="5671" w:type="dxa"/>
            <w:vAlign w:val="center"/>
          </w:tcPr>
          <w:p w:rsidR="004862CA" w:rsidRPr="0050546F" w:rsidRDefault="004862CA" w:rsidP="00471B78">
            <w:pPr>
              <w:rPr>
                <w:rFonts w:ascii="仿宋_GB2312" w:eastAsia="仿宋_GB2312" w:hAnsiTheme="minorEastAsia"/>
                <w:szCs w:val="21"/>
              </w:rPr>
            </w:pPr>
            <w:r w:rsidRPr="00881EB0">
              <w:rPr>
                <w:rFonts w:ascii="仿宋_GB2312" w:eastAsia="仿宋_GB2312" w:hAnsiTheme="minorEastAsia" w:hint="eastAsia"/>
                <w:szCs w:val="21"/>
              </w:rPr>
              <w:t>距离生活饮用水源地500米以上</w:t>
            </w:r>
          </w:p>
        </w:tc>
        <w:tc>
          <w:tcPr>
            <w:tcW w:w="850" w:type="dxa"/>
            <w:vAlign w:val="center"/>
          </w:tcPr>
          <w:p w:rsidR="004862CA" w:rsidRDefault="004862CA" w:rsidP="00471B78">
            <w:pPr>
              <w:jc w:val="center"/>
              <w:rPr>
                <w:rFonts w:ascii="仿宋_GB2312" w:eastAsia="仿宋_GB2312" w:hAnsiTheme="minorEastAsia"/>
                <w:sz w:val="32"/>
                <w:szCs w:val="32"/>
              </w:rPr>
            </w:pPr>
          </w:p>
        </w:tc>
        <w:tc>
          <w:tcPr>
            <w:tcW w:w="847" w:type="dxa"/>
            <w:vAlign w:val="center"/>
          </w:tcPr>
          <w:p w:rsidR="004862CA" w:rsidRDefault="004862CA" w:rsidP="00471B78">
            <w:pPr>
              <w:jc w:val="center"/>
              <w:rPr>
                <w:rFonts w:ascii="仿宋_GB2312" w:eastAsia="仿宋_GB2312" w:hAnsiTheme="minorEastAsia"/>
                <w:sz w:val="32"/>
                <w:szCs w:val="32"/>
              </w:rPr>
            </w:pPr>
          </w:p>
        </w:tc>
        <w:tc>
          <w:tcPr>
            <w:tcW w:w="1705" w:type="dxa"/>
            <w:vAlign w:val="center"/>
          </w:tcPr>
          <w:p w:rsidR="004862CA" w:rsidRDefault="004862CA" w:rsidP="00471B78">
            <w:pPr>
              <w:jc w:val="cente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2</w:t>
            </w:r>
          </w:p>
        </w:tc>
        <w:tc>
          <w:tcPr>
            <w:tcW w:w="5671" w:type="dxa"/>
            <w:vAlign w:val="center"/>
          </w:tcPr>
          <w:p w:rsidR="004862CA" w:rsidRPr="0050546F" w:rsidRDefault="004862CA" w:rsidP="00471B78">
            <w:pPr>
              <w:rPr>
                <w:rFonts w:ascii="仿宋_GB2312" w:eastAsia="仿宋_GB2312" w:hAnsiTheme="minorEastAsia"/>
                <w:szCs w:val="21"/>
              </w:rPr>
            </w:pPr>
            <w:r w:rsidRPr="00881EB0">
              <w:rPr>
                <w:rFonts w:ascii="仿宋_GB2312" w:eastAsia="仿宋_GB2312" w:hAnsiTheme="minorEastAsia" w:hint="eastAsia"/>
                <w:szCs w:val="21"/>
              </w:rPr>
              <w:t>具有防渗、防漏及污水污物处理设施设备，能有效防止</w:t>
            </w:r>
            <w:r>
              <w:rPr>
                <w:rFonts w:ascii="仿宋_GB2312" w:eastAsia="仿宋_GB2312" w:hAnsiTheme="minorEastAsia" w:hint="eastAsia"/>
                <w:szCs w:val="21"/>
              </w:rPr>
              <w:t>动物饲养场、养殖小区、动物隔离场</w:t>
            </w:r>
            <w:r w:rsidRPr="00881EB0">
              <w:rPr>
                <w:rFonts w:ascii="仿宋_GB2312" w:eastAsia="仿宋_GB2312" w:hAnsiTheme="minorEastAsia" w:hint="eastAsia"/>
                <w:szCs w:val="21"/>
              </w:rPr>
              <w:t>污染饮用水</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3</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周边有河流、湖泊、树林、山丘、大型沟壑等天然屏障</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4</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周边有树林、院墙（不具有隔离作用的栅栏、铁丝网等除外）等人工屏障</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5</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自然屏障或人工屏障能使其与</w:t>
            </w:r>
            <w:r w:rsidRPr="00133772">
              <w:rPr>
                <w:rFonts w:ascii="仿宋_GB2312" w:eastAsia="仿宋_GB2312" w:hAnsiTheme="minorEastAsia" w:hint="eastAsia"/>
                <w:szCs w:val="21"/>
              </w:rPr>
              <w:t>动物饲养场（养殖小区）、动物诊疗机构、动物和动物产品集贸市场、动物隔离场、无害化处理厂等实现物理隔离，防止病原微生物近距离传播</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6</w:t>
            </w:r>
          </w:p>
        </w:tc>
        <w:tc>
          <w:tcPr>
            <w:tcW w:w="5671" w:type="dxa"/>
            <w:vAlign w:val="center"/>
          </w:tcPr>
          <w:p w:rsidR="004862CA" w:rsidRPr="0050546F" w:rsidRDefault="004862CA" w:rsidP="00471B78">
            <w:pPr>
              <w:rPr>
                <w:rFonts w:ascii="仿宋_GB2312" w:eastAsia="仿宋_GB2312" w:hAnsiTheme="minorEastAsia"/>
                <w:szCs w:val="21"/>
              </w:rPr>
            </w:pPr>
            <w:r>
              <w:rPr>
                <w:rFonts w:ascii="仿宋_GB2312" w:eastAsia="仿宋_GB2312" w:hAnsiTheme="minorEastAsia" w:hint="eastAsia"/>
                <w:szCs w:val="21"/>
              </w:rPr>
              <w:t>具有与其规模相适应的清洗消毒设施设备</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bl>
    <w:p w:rsidR="004862CA" w:rsidRDefault="004862CA" w:rsidP="004862CA">
      <w:pPr>
        <w:rPr>
          <w:rFonts w:ascii="仿宋_GB2312" w:eastAsia="仿宋_GB2312" w:hAnsiTheme="minorEastAsia"/>
          <w:szCs w:val="21"/>
        </w:rPr>
      </w:pPr>
      <w:r w:rsidRPr="00753157">
        <w:rPr>
          <w:rFonts w:ascii="仿宋_GB2312" w:eastAsia="仿宋_GB2312" w:hAnsiTheme="minorEastAsia" w:hint="eastAsia"/>
          <w:szCs w:val="21"/>
        </w:rPr>
        <w:t>注：</w:t>
      </w:r>
      <w:r>
        <w:rPr>
          <w:rFonts w:ascii="仿宋_GB2312" w:eastAsia="仿宋_GB2312" w:hAnsiTheme="minorEastAsia" w:hint="eastAsia"/>
          <w:szCs w:val="21"/>
        </w:rPr>
        <w:t>1.第一项和第二项只要符合一项即可。</w:t>
      </w:r>
    </w:p>
    <w:p w:rsidR="004862CA" w:rsidRDefault="004862CA" w:rsidP="004862CA">
      <w:pPr>
        <w:rPr>
          <w:rFonts w:ascii="仿宋_GB2312" w:eastAsia="仿宋_GB2312" w:hAnsiTheme="minorEastAsia"/>
          <w:szCs w:val="21"/>
        </w:rPr>
      </w:pPr>
      <w:r>
        <w:rPr>
          <w:rFonts w:ascii="仿宋_GB2312" w:eastAsia="仿宋_GB2312" w:hAnsiTheme="minorEastAsia" w:hint="eastAsia"/>
          <w:szCs w:val="21"/>
        </w:rPr>
        <w:t xml:space="preserve">    2. </w:t>
      </w:r>
      <w:r w:rsidRPr="00753157">
        <w:rPr>
          <w:rFonts w:ascii="仿宋_GB2312" w:eastAsia="仿宋_GB2312" w:hAnsiTheme="minorEastAsia" w:hint="eastAsia"/>
          <w:szCs w:val="21"/>
        </w:rPr>
        <w:t>自然屏障和人工屏障至少评估一项，两项都具备的可同时评估。</w:t>
      </w:r>
    </w:p>
    <w:p w:rsidR="004862CA" w:rsidRDefault="004862CA" w:rsidP="004862CA">
      <w:pPr>
        <w:rPr>
          <w:rFonts w:ascii="仿宋_GB2312" w:eastAsia="仿宋_GB2312" w:hAnsiTheme="minorEastAsia"/>
          <w:szCs w:val="21"/>
        </w:rPr>
      </w:pPr>
      <w:r>
        <w:rPr>
          <w:rFonts w:ascii="仿宋_GB2312" w:eastAsia="仿宋_GB2312" w:hAnsiTheme="minorEastAsia" w:hint="eastAsia"/>
          <w:szCs w:val="21"/>
        </w:rPr>
        <w:t xml:space="preserve">    3.审核结果为“否”的，应在“审核说明”中填写具体审核情况，审核结果为“是”的，无需填写。</w:t>
      </w:r>
    </w:p>
    <w:p w:rsidR="004862CA" w:rsidRPr="003E034C" w:rsidRDefault="004862CA" w:rsidP="004862CA">
      <w:pPr>
        <w:rPr>
          <w:rFonts w:ascii="仿宋_GB2312" w:eastAsia="仿宋_GB2312" w:hAnsiTheme="minorEastAsia"/>
          <w:szCs w:val="21"/>
        </w:rPr>
      </w:pPr>
    </w:p>
    <w:p w:rsidR="004862CA" w:rsidRPr="00881EB0" w:rsidRDefault="004862CA" w:rsidP="004862CA">
      <w:pPr>
        <w:rPr>
          <w:rFonts w:ascii="仿宋_GB2312" w:eastAsia="仿宋_GB2312" w:hAnsiTheme="minorEastAsia"/>
          <w:szCs w:val="21"/>
        </w:rPr>
      </w:pPr>
    </w:p>
    <w:p w:rsidR="004862CA" w:rsidRPr="00397A8A" w:rsidRDefault="004862CA" w:rsidP="004862CA">
      <w:pPr>
        <w:rPr>
          <w:rFonts w:ascii="仿宋_GB2312" w:eastAsia="仿宋_GB2312" w:hAnsiTheme="minorEastAsia"/>
          <w:szCs w:val="21"/>
        </w:rPr>
      </w:pPr>
    </w:p>
    <w:p w:rsidR="004862CA" w:rsidRDefault="004862CA" w:rsidP="004862CA">
      <w:pPr>
        <w:rPr>
          <w:rFonts w:ascii="仿宋_GB2312" w:eastAsia="仿宋_GB2312" w:hAnsiTheme="minorEastAsia"/>
          <w:szCs w:val="21"/>
        </w:rPr>
      </w:pPr>
    </w:p>
    <w:p w:rsidR="004862CA" w:rsidRDefault="004862CA" w:rsidP="004862CA">
      <w:pPr>
        <w:spacing w:line="600" w:lineRule="exact"/>
        <w:rPr>
          <w:rFonts w:ascii="黑体" w:eastAsia="黑体" w:hAnsi="黑体"/>
          <w:sz w:val="32"/>
          <w:szCs w:val="32"/>
        </w:rPr>
      </w:pPr>
    </w:p>
    <w:p w:rsidR="004862CA" w:rsidRDefault="004862CA" w:rsidP="004862CA">
      <w:pPr>
        <w:spacing w:line="600" w:lineRule="exact"/>
        <w:rPr>
          <w:rFonts w:ascii="黑体" w:eastAsia="黑体" w:hAnsi="黑体"/>
          <w:sz w:val="32"/>
          <w:szCs w:val="32"/>
        </w:rPr>
      </w:pPr>
    </w:p>
    <w:p w:rsidR="004862CA" w:rsidRDefault="004862CA" w:rsidP="004862CA">
      <w:pPr>
        <w:spacing w:line="600" w:lineRule="exact"/>
        <w:rPr>
          <w:rFonts w:ascii="黑体" w:eastAsia="黑体" w:hAnsi="黑体"/>
          <w:sz w:val="32"/>
          <w:szCs w:val="32"/>
        </w:rPr>
      </w:pPr>
    </w:p>
    <w:p w:rsidR="004862CA" w:rsidRDefault="004862CA" w:rsidP="004862CA">
      <w:pPr>
        <w:spacing w:line="600" w:lineRule="exact"/>
        <w:rPr>
          <w:rFonts w:ascii="黑体" w:eastAsia="黑体" w:hAnsi="黑体"/>
          <w:sz w:val="32"/>
          <w:szCs w:val="32"/>
        </w:rPr>
      </w:pPr>
    </w:p>
    <w:p w:rsidR="004862CA" w:rsidRDefault="004862CA" w:rsidP="004862CA">
      <w:pPr>
        <w:spacing w:line="600" w:lineRule="exact"/>
        <w:rPr>
          <w:rFonts w:ascii="黑体" w:eastAsia="黑体" w:hAnsi="黑体"/>
          <w:sz w:val="32"/>
          <w:szCs w:val="32"/>
        </w:rPr>
      </w:pPr>
    </w:p>
    <w:p w:rsidR="004862CA" w:rsidRDefault="004862CA" w:rsidP="004862CA">
      <w:pPr>
        <w:spacing w:line="600" w:lineRule="exact"/>
        <w:rPr>
          <w:rFonts w:ascii="黑体" w:eastAsia="黑体" w:hAnsi="黑体"/>
          <w:sz w:val="32"/>
          <w:szCs w:val="32"/>
        </w:rPr>
      </w:pPr>
    </w:p>
    <w:p w:rsidR="004862CA" w:rsidRDefault="004862CA" w:rsidP="004862CA">
      <w:pPr>
        <w:spacing w:line="600" w:lineRule="exact"/>
        <w:rPr>
          <w:rFonts w:ascii="黑体" w:eastAsia="黑体" w:hAnsi="黑体"/>
          <w:sz w:val="32"/>
          <w:szCs w:val="32"/>
        </w:rPr>
      </w:pPr>
    </w:p>
    <w:p w:rsidR="004862CA" w:rsidRPr="0050546F" w:rsidRDefault="004862CA" w:rsidP="004862CA">
      <w:pPr>
        <w:spacing w:line="600" w:lineRule="exact"/>
        <w:rPr>
          <w:rFonts w:ascii="黑体" w:eastAsia="黑体" w:hAnsi="黑体"/>
          <w:sz w:val="32"/>
          <w:szCs w:val="32"/>
        </w:rPr>
      </w:pPr>
      <w:r w:rsidRPr="0050546F">
        <w:rPr>
          <w:rFonts w:ascii="黑体" w:eastAsia="黑体" w:hAnsi="黑体" w:hint="eastAsia"/>
          <w:sz w:val="32"/>
          <w:szCs w:val="32"/>
        </w:rPr>
        <w:lastRenderedPageBreak/>
        <w:t>附表</w:t>
      </w:r>
      <w:r>
        <w:rPr>
          <w:rFonts w:ascii="黑体" w:eastAsia="黑体" w:hAnsi="黑体" w:hint="eastAsia"/>
          <w:sz w:val="32"/>
          <w:szCs w:val="32"/>
        </w:rPr>
        <w:t>3</w:t>
      </w:r>
    </w:p>
    <w:p w:rsidR="004862CA" w:rsidRDefault="004862CA" w:rsidP="004862CA">
      <w:pPr>
        <w:jc w:val="center"/>
        <w:rPr>
          <w:rFonts w:ascii="方正小标宋简体" w:eastAsia="方正小标宋简体" w:hAnsiTheme="minorEastAsia"/>
          <w:sz w:val="36"/>
          <w:szCs w:val="36"/>
        </w:rPr>
      </w:pPr>
      <w:r w:rsidRPr="006C2A4B">
        <w:rPr>
          <w:rFonts w:ascii="方正小标宋简体" w:eastAsia="方正小标宋简体" w:hAnsiTheme="minorEastAsia" w:hint="eastAsia"/>
          <w:sz w:val="36"/>
          <w:szCs w:val="36"/>
        </w:rPr>
        <w:t>动物和动物产品无害化处理场所</w:t>
      </w:r>
      <w:r>
        <w:rPr>
          <w:rFonts w:ascii="方正小标宋简体" w:eastAsia="方正小标宋简体" w:hAnsiTheme="minorEastAsia" w:hint="eastAsia"/>
          <w:sz w:val="36"/>
          <w:szCs w:val="36"/>
        </w:rPr>
        <w:t>确认</w:t>
      </w:r>
      <w:r w:rsidRPr="0050546F">
        <w:rPr>
          <w:rFonts w:ascii="方正小标宋简体" w:eastAsia="方正小标宋简体" w:hAnsiTheme="minorEastAsia" w:hint="eastAsia"/>
          <w:sz w:val="36"/>
          <w:szCs w:val="36"/>
        </w:rPr>
        <w:t>选址</w:t>
      </w:r>
    </w:p>
    <w:p w:rsidR="004862CA" w:rsidRPr="0050546F" w:rsidRDefault="004862CA" w:rsidP="004862CA">
      <w:pPr>
        <w:jc w:val="center"/>
        <w:rPr>
          <w:rFonts w:ascii="方正小标宋简体" w:eastAsia="方正小标宋简体" w:hAnsiTheme="minorEastAsia"/>
          <w:sz w:val="36"/>
          <w:szCs w:val="36"/>
        </w:rPr>
      </w:pPr>
      <w:r w:rsidRPr="0050546F">
        <w:rPr>
          <w:rFonts w:ascii="方正小标宋简体" w:eastAsia="方正小标宋简体" w:hAnsiTheme="minorEastAsia" w:hint="eastAsia"/>
          <w:sz w:val="36"/>
          <w:szCs w:val="36"/>
        </w:rPr>
        <w:t>风险评估表</w:t>
      </w:r>
    </w:p>
    <w:tbl>
      <w:tblPr>
        <w:tblStyle w:val="a4"/>
        <w:tblW w:w="9924" w:type="dxa"/>
        <w:tblInd w:w="-459" w:type="dxa"/>
        <w:tblLook w:val="04A0"/>
      </w:tblPr>
      <w:tblGrid>
        <w:gridCol w:w="851"/>
        <w:gridCol w:w="5671"/>
        <w:gridCol w:w="850"/>
        <w:gridCol w:w="847"/>
        <w:gridCol w:w="1705"/>
      </w:tblGrid>
      <w:tr w:rsidR="004862CA" w:rsidRPr="0050546F" w:rsidTr="00471B78">
        <w:trPr>
          <w:trHeight w:val="426"/>
        </w:trPr>
        <w:tc>
          <w:tcPr>
            <w:tcW w:w="851" w:type="dxa"/>
            <w:vMerge w:val="restart"/>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序号</w:t>
            </w:r>
          </w:p>
        </w:tc>
        <w:tc>
          <w:tcPr>
            <w:tcW w:w="5671" w:type="dxa"/>
            <w:vMerge w:val="restart"/>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内容</w:t>
            </w:r>
          </w:p>
        </w:tc>
        <w:tc>
          <w:tcPr>
            <w:tcW w:w="1697" w:type="dxa"/>
            <w:gridSpan w:val="2"/>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评估结果</w:t>
            </w:r>
          </w:p>
        </w:tc>
        <w:tc>
          <w:tcPr>
            <w:tcW w:w="1705" w:type="dxa"/>
            <w:vMerge w:val="restart"/>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评估说明</w:t>
            </w:r>
          </w:p>
        </w:tc>
      </w:tr>
      <w:tr w:rsidR="004862CA" w:rsidRPr="0050546F" w:rsidTr="00471B78">
        <w:trPr>
          <w:trHeight w:val="364"/>
        </w:trPr>
        <w:tc>
          <w:tcPr>
            <w:tcW w:w="851" w:type="dxa"/>
            <w:vMerge/>
            <w:vAlign w:val="center"/>
          </w:tcPr>
          <w:p w:rsidR="004862CA" w:rsidRPr="0050546F" w:rsidRDefault="004862CA" w:rsidP="00471B78">
            <w:pPr>
              <w:jc w:val="center"/>
              <w:rPr>
                <w:rFonts w:ascii="仿宋_GB2312" w:eastAsia="仿宋_GB2312" w:hAnsiTheme="minorEastAsia"/>
                <w:sz w:val="30"/>
                <w:szCs w:val="30"/>
              </w:rPr>
            </w:pPr>
          </w:p>
        </w:tc>
        <w:tc>
          <w:tcPr>
            <w:tcW w:w="5671" w:type="dxa"/>
            <w:vMerge/>
            <w:vAlign w:val="center"/>
          </w:tcPr>
          <w:p w:rsidR="004862CA" w:rsidRPr="0050546F" w:rsidRDefault="004862CA" w:rsidP="00471B78">
            <w:pPr>
              <w:jc w:val="center"/>
              <w:rPr>
                <w:rFonts w:ascii="仿宋_GB2312" w:eastAsia="仿宋_GB2312" w:hAnsiTheme="minorEastAsia"/>
                <w:sz w:val="30"/>
                <w:szCs w:val="30"/>
              </w:rPr>
            </w:pPr>
          </w:p>
        </w:tc>
        <w:tc>
          <w:tcPr>
            <w:tcW w:w="850" w:type="dxa"/>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是</w:t>
            </w:r>
          </w:p>
        </w:tc>
        <w:tc>
          <w:tcPr>
            <w:tcW w:w="847" w:type="dxa"/>
            <w:vAlign w:val="center"/>
          </w:tcPr>
          <w:p w:rsidR="004862CA" w:rsidRPr="0050546F" w:rsidRDefault="004862CA" w:rsidP="00471B78">
            <w:pPr>
              <w:jc w:val="center"/>
              <w:rPr>
                <w:rFonts w:ascii="黑体" w:eastAsia="黑体" w:hAnsi="黑体"/>
                <w:sz w:val="30"/>
                <w:szCs w:val="30"/>
              </w:rPr>
            </w:pPr>
            <w:r w:rsidRPr="0050546F">
              <w:rPr>
                <w:rFonts w:ascii="黑体" w:eastAsia="黑体" w:hAnsi="黑体" w:hint="eastAsia"/>
                <w:sz w:val="30"/>
                <w:szCs w:val="30"/>
              </w:rPr>
              <w:t>否</w:t>
            </w:r>
          </w:p>
        </w:tc>
        <w:tc>
          <w:tcPr>
            <w:tcW w:w="1705" w:type="dxa"/>
            <w:vMerge/>
            <w:vAlign w:val="center"/>
          </w:tcPr>
          <w:p w:rsidR="004862CA" w:rsidRPr="0050546F" w:rsidRDefault="004862CA" w:rsidP="00471B78">
            <w:pPr>
              <w:jc w:val="center"/>
              <w:rPr>
                <w:rFonts w:ascii="仿宋_GB2312" w:eastAsia="仿宋_GB2312" w:hAnsiTheme="minorEastAsia"/>
                <w:sz w:val="30"/>
                <w:szCs w:val="30"/>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sidRPr="0050546F">
              <w:rPr>
                <w:rFonts w:ascii="仿宋_GB2312" w:eastAsia="仿宋_GB2312" w:hAnsiTheme="minorEastAsia" w:hint="eastAsia"/>
                <w:szCs w:val="21"/>
              </w:rPr>
              <w:t>1</w:t>
            </w:r>
          </w:p>
        </w:tc>
        <w:tc>
          <w:tcPr>
            <w:tcW w:w="5671" w:type="dxa"/>
            <w:vAlign w:val="center"/>
          </w:tcPr>
          <w:p w:rsidR="004862CA" w:rsidRPr="0050546F" w:rsidRDefault="004862CA" w:rsidP="00471B78">
            <w:pPr>
              <w:rPr>
                <w:rFonts w:ascii="仿宋_GB2312" w:eastAsia="仿宋_GB2312" w:hAnsiTheme="minorEastAsia"/>
                <w:szCs w:val="21"/>
              </w:rPr>
            </w:pPr>
            <w:r w:rsidRPr="00254F0C">
              <w:rPr>
                <w:rFonts w:ascii="仿宋_GB2312" w:eastAsia="仿宋_GB2312" w:hAnsiTheme="minorEastAsia" w:hint="eastAsia"/>
                <w:szCs w:val="21"/>
              </w:rPr>
              <w:t>距离生活饮用水源地500米以上，同时具有防渗、防漏及污水污物处理设施设备，能有效防止动物和动物产品无害化处理场所污染饮用水</w:t>
            </w:r>
          </w:p>
        </w:tc>
        <w:tc>
          <w:tcPr>
            <w:tcW w:w="850" w:type="dxa"/>
            <w:vAlign w:val="center"/>
          </w:tcPr>
          <w:p w:rsidR="004862CA" w:rsidRDefault="004862CA" w:rsidP="00471B78">
            <w:pPr>
              <w:jc w:val="center"/>
              <w:rPr>
                <w:rFonts w:ascii="仿宋_GB2312" w:eastAsia="仿宋_GB2312" w:hAnsiTheme="minorEastAsia"/>
                <w:sz w:val="32"/>
                <w:szCs w:val="32"/>
              </w:rPr>
            </w:pPr>
          </w:p>
        </w:tc>
        <w:tc>
          <w:tcPr>
            <w:tcW w:w="847" w:type="dxa"/>
            <w:vAlign w:val="center"/>
          </w:tcPr>
          <w:p w:rsidR="004862CA" w:rsidRDefault="004862CA" w:rsidP="00471B78">
            <w:pPr>
              <w:jc w:val="center"/>
              <w:rPr>
                <w:rFonts w:ascii="仿宋_GB2312" w:eastAsia="仿宋_GB2312" w:hAnsiTheme="minorEastAsia"/>
                <w:sz w:val="32"/>
                <w:szCs w:val="32"/>
              </w:rPr>
            </w:pPr>
          </w:p>
        </w:tc>
        <w:tc>
          <w:tcPr>
            <w:tcW w:w="1705" w:type="dxa"/>
            <w:vAlign w:val="center"/>
          </w:tcPr>
          <w:p w:rsidR="004862CA" w:rsidRDefault="004862CA" w:rsidP="00471B78">
            <w:pPr>
              <w:jc w:val="cente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2</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周边有河流、湖泊、树林、山丘、大型沟壑等天然屏障</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3</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周边有树林、院墙（不具有隔离作用的栅栏、铁丝网等除外）等人工屏障</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4</w:t>
            </w:r>
          </w:p>
        </w:tc>
        <w:tc>
          <w:tcPr>
            <w:tcW w:w="5671" w:type="dxa"/>
            <w:vAlign w:val="center"/>
          </w:tcPr>
          <w:p w:rsidR="004862CA" w:rsidRPr="0050546F" w:rsidRDefault="004862CA" w:rsidP="00471B78">
            <w:pPr>
              <w:rPr>
                <w:rFonts w:ascii="仿宋_GB2312" w:eastAsia="仿宋_GB2312" w:hAnsiTheme="minorEastAsia"/>
                <w:szCs w:val="21"/>
              </w:rPr>
            </w:pPr>
            <w:r w:rsidRPr="0050546F">
              <w:rPr>
                <w:rFonts w:ascii="仿宋_GB2312" w:eastAsia="仿宋_GB2312" w:hAnsiTheme="minorEastAsia" w:hint="eastAsia"/>
                <w:szCs w:val="21"/>
              </w:rPr>
              <w:t>自然屏障或人工屏障能使其与</w:t>
            </w:r>
            <w:r w:rsidRPr="00133772">
              <w:rPr>
                <w:rFonts w:ascii="仿宋_GB2312" w:eastAsia="仿宋_GB2312" w:hAnsiTheme="minorEastAsia" w:hint="eastAsia"/>
                <w:szCs w:val="21"/>
              </w:rPr>
              <w:t>动物饲养场（养殖小区）、动物诊疗机构、动物和动物产品集贸市场、动物隔离场、无害化处理厂等实现物理隔离，防止病原微生物近距离传播</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r w:rsidR="004862CA" w:rsidTr="00471B78">
        <w:tc>
          <w:tcPr>
            <w:tcW w:w="851" w:type="dxa"/>
            <w:vAlign w:val="center"/>
          </w:tcPr>
          <w:p w:rsidR="004862CA" w:rsidRPr="0050546F" w:rsidRDefault="004862CA" w:rsidP="00471B78">
            <w:pPr>
              <w:jc w:val="center"/>
              <w:rPr>
                <w:rFonts w:ascii="仿宋_GB2312" w:eastAsia="仿宋_GB2312" w:hAnsiTheme="minorEastAsia"/>
                <w:szCs w:val="21"/>
              </w:rPr>
            </w:pPr>
            <w:r>
              <w:rPr>
                <w:rFonts w:ascii="仿宋_GB2312" w:eastAsia="仿宋_GB2312" w:hAnsiTheme="minorEastAsia" w:hint="eastAsia"/>
                <w:szCs w:val="21"/>
              </w:rPr>
              <w:t>5</w:t>
            </w:r>
          </w:p>
        </w:tc>
        <w:tc>
          <w:tcPr>
            <w:tcW w:w="5671" w:type="dxa"/>
            <w:vAlign w:val="center"/>
          </w:tcPr>
          <w:p w:rsidR="004862CA" w:rsidRPr="0050546F" w:rsidRDefault="004862CA" w:rsidP="00471B78">
            <w:pPr>
              <w:rPr>
                <w:rFonts w:ascii="仿宋_GB2312" w:eastAsia="仿宋_GB2312" w:hAnsiTheme="minorEastAsia"/>
                <w:szCs w:val="21"/>
              </w:rPr>
            </w:pPr>
            <w:r>
              <w:rPr>
                <w:rFonts w:ascii="仿宋_GB2312" w:eastAsia="仿宋_GB2312" w:hAnsiTheme="minorEastAsia" w:hint="eastAsia"/>
                <w:szCs w:val="21"/>
              </w:rPr>
              <w:t>具有与其规模相适应的清洗消毒设施设备</w:t>
            </w:r>
          </w:p>
        </w:tc>
        <w:tc>
          <w:tcPr>
            <w:tcW w:w="850" w:type="dxa"/>
          </w:tcPr>
          <w:p w:rsidR="004862CA" w:rsidRDefault="004862CA" w:rsidP="00471B78">
            <w:pPr>
              <w:rPr>
                <w:rFonts w:ascii="仿宋_GB2312" w:eastAsia="仿宋_GB2312" w:hAnsiTheme="minorEastAsia"/>
                <w:sz w:val="32"/>
                <w:szCs w:val="32"/>
              </w:rPr>
            </w:pPr>
          </w:p>
        </w:tc>
        <w:tc>
          <w:tcPr>
            <w:tcW w:w="847" w:type="dxa"/>
          </w:tcPr>
          <w:p w:rsidR="004862CA" w:rsidRDefault="004862CA" w:rsidP="00471B78">
            <w:pPr>
              <w:rPr>
                <w:rFonts w:ascii="仿宋_GB2312" w:eastAsia="仿宋_GB2312" w:hAnsiTheme="minorEastAsia"/>
                <w:sz w:val="32"/>
                <w:szCs w:val="32"/>
              </w:rPr>
            </w:pPr>
          </w:p>
        </w:tc>
        <w:tc>
          <w:tcPr>
            <w:tcW w:w="1705" w:type="dxa"/>
          </w:tcPr>
          <w:p w:rsidR="004862CA" w:rsidRDefault="004862CA" w:rsidP="00471B78">
            <w:pPr>
              <w:rPr>
                <w:rFonts w:ascii="仿宋_GB2312" w:eastAsia="仿宋_GB2312" w:hAnsiTheme="minorEastAsia"/>
                <w:sz w:val="32"/>
                <w:szCs w:val="32"/>
              </w:rPr>
            </w:pPr>
          </w:p>
        </w:tc>
      </w:tr>
    </w:tbl>
    <w:p w:rsidR="004862CA" w:rsidRDefault="004862CA" w:rsidP="004862CA">
      <w:pPr>
        <w:rPr>
          <w:rFonts w:ascii="仿宋_GB2312" w:eastAsia="仿宋_GB2312" w:hAnsiTheme="minorEastAsia"/>
          <w:szCs w:val="21"/>
        </w:rPr>
      </w:pPr>
      <w:r w:rsidRPr="00753157">
        <w:rPr>
          <w:rFonts w:ascii="仿宋_GB2312" w:eastAsia="仿宋_GB2312" w:hAnsiTheme="minorEastAsia" w:hint="eastAsia"/>
          <w:szCs w:val="21"/>
        </w:rPr>
        <w:t>注：</w:t>
      </w:r>
      <w:r>
        <w:rPr>
          <w:rFonts w:ascii="仿宋_GB2312" w:eastAsia="仿宋_GB2312" w:hAnsiTheme="minorEastAsia" w:hint="eastAsia"/>
          <w:szCs w:val="21"/>
        </w:rPr>
        <w:t>1.</w:t>
      </w:r>
      <w:r w:rsidRPr="00753157">
        <w:rPr>
          <w:rFonts w:ascii="仿宋_GB2312" w:eastAsia="仿宋_GB2312" w:hAnsiTheme="minorEastAsia" w:hint="eastAsia"/>
          <w:szCs w:val="21"/>
        </w:rPr>
        <w:t>自然屏障和人工屏障至少评估一项，两项都具备的可同时评估。</w:t>
      </w:r>
    </w:p>
    <w:p w:rsidR="004862CA" w:rsidRDefault="004862CA" w:rsidP="004862CA">
      <w:pPr>
        <w:rPr>
          <w:rFonts w:ascii="仿宋_GB2312" w:eastAsia="仿宋_GB2312" w:hAnsiTheme="minorEastAsia"/>
          <w:szCs w:val="21"/>
        </w:rPr>
      </w:pPr>
      <w:r>
        <w:rPr>
          <w:rFonts w:ascii="仿宋_GB2312" w:eastAsia="仿宋_GB2312" w:hAnsiTheme="minorEastAsia" w:hint="eastAsia"/>
          <w:szCs w:val="21"/>
        </w:rPr>
        <w:t xml:space="preserve">    2.审核结果为“否”的，应在“审核说明”中填写具体审核情况，审核结果为“是”的，无需填写。</w:t>
      </w:r>
    </w:p>
    <w:p w:rsidR="004862CA" w:rsidRPr="00397A8A" w:rsidRDefault="004862CA" w:rsidP="004862CA">
      <w:pPr>
        <w:rPr>
          <w:rFonts w:ascii="仿宋_GB2312" w:eastAsia="仿宋_GB2312" w:hAnsiTheme="minorEastAsia"/>
          <w:szCs w:val="21"/>
        </w:rPr>
      </w:pPr>
    </w:p>
    <w:p w:rsidR="004862CA" w:rsidRPr="00254F0C" w:rsidRDefault="004862CA" w:rsidP="004862CA">
      <w:pPr>
        <w:rPr>
          <w:rFonts w:ascii="仿宋_GB2312" w:eastAsia="仿宋_GB2312" w:hAnsiTheme="minorEastAsia"/>
          <w:szCs w:val="21"/>
        </w:rPr>
      </w:pPr>
    </w:p>
    <w:p w:rsidR="004862CA" w:rsidRPr="004126DD" w:rsidRDefault="004862CA" w:rsidP="004862CA"/>
    <w:p w:rsidR="003D1A04" w:rsidRPr="004862CA" w:rsidRDefault="003D1A04"/>
    <w:sectPr w:rsidR="003D1A04" w:rsidRPr="004862CA" w:rsidSect="005D3848">
      <w:footerReference w:type="default" r:id="rI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68285"/>
      <w:docPartObj>
        <w:docPartGallery w:val="Page Numbers (Bottom of Page)"/>
        <w:docPartUnique/>
      </w:docPartObj>
    </w:sdtPr>
    <w:sdtEndPr/>
    <w:sdtContent>
      <w:p w:rsidR="00EC5EC0" w:rsidRDefault="004862CA">
        <w:pPr>
          <w:pStyle w:val="a3"/>
          <w:jc w:val="center"/>
        </w:pPr>
        <w:r>
          <w:fldChar w:fldCharType="begin"/>
        </w:r>
        <w:r>
          <w:instrText xml:space="preserve"> PAGE   \* MERGEFORMAT </w:instrText>
        </w:r>
        <w:r>
          <w:fldChar w:fldCharType="separate"/>
        </w:r>
        <w:r w:rsidRPr="004862CA">
          <w:rPr>
            <w:noProof/>
            <w:lang w:val="zh-CN"/>
          </w:rPr>
          <w:t>1</w:t>
        </w:r>
        <w:r>
          <w:fldChar w:fldCharType="end"/>
        </w:r>
      </w:p>
    </w:sdtContent>
  </w:sdt>
  <w:p w:rsidR="00EC5EC0" w:rsidRDefault="004862CA">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862CA"/>
    <w:rsid w:val="003D1A04"/>
    <w:rsid w:val="004862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2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862CA"/>
    <w:pPr>
      <w:tabs>
        <w:tab w:val="center" w:pos="4153"/>
        <w:tab w:val="right" w:pos="8306"/>
      </w:tabs>
      <w:snapToGrid w:val="0"/>
      <w:jc w:val="left"/>
    </w:pPr>
    <w:rPr>
      <w:sz w:val="18"/>
      <w:szCs w:val="18"/>
    </w:rPr>
  </w:style>
  <w:style w:type="character" w:customStyle="1" w:styleId="Char">
    <w:name w:val="页脚 Char"/>
    <w:basedOn w:val="a0"/>
    <w:link w:val="a3"/>
    <w:uiPriority w:val="99"/>
    <w:rsid w:val="004862CA"/>
    <w:rPr>
      <w:sz w:val="18"/>
      <w:szCs w:val="18"/>
    </w:rPr>
  </w:style>
  <w:style w:type="table" w:styleId="a4">
    <w:name w:val="Table Grid"/>
    <w:basedOn w:val="a1"/>
    <w:uiPriority w:val="59"/>
    <w:rsid w:val="004862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XXZXWL</dc:creator>
  <cp:lastModifiedBy>XXZXWL</cp:lastModifiedBy>
  <cp:revision>1</cp:revision>
  <dcterms:created xsi:type="dcterms:W3CDTF">2020-01-06T08:25:00Z</dcterms:created>
  <dcterms:modified xsi:type="dcterms:W3CDTF">2020-01-06T08:25:00Z</dcterms:modified>
</cp:coreProperties>
</file>